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51" w:rsidRDefault="00DB4E51" w:rsidP="00945DB5">
      <w:pPr>
        <w:spacing w:line="360" w:lineRule="auto"/>
        <w:jc w:val="both"/>
        <w:rPr>
          <w:rFonts w:ascii="Arial" w:eastAsia="Times New Roman" w:hAnsi="Arial" w:cs="Arial"/>
          <w:b/>
          <w:sz w:val="24"/>
          <w:szCs w:val="24"/>
        </w:rPr>
      </w:pPr>
      <w:r>
        <w:rPr>
          <w:rFonts w:ascii="Arial" w:eastAsia="Times New Roman" w:hAnsi="Arial" w:cs="Arial"/>
          <w:b/>
          <w:sz w:val="24"/>
          <w:szCs w:val="24"/>
        </w:rPr>
        <w:t>Citing a statute</w:t>
      </w:r>
    </w:p>
    <w:p w:rsidR="00932247" w:rsidRDefault="00DB4E51" w:rsidP="00945DB5">
      <w:pPr>
        <w:spacing w:line="360" w:lineRule="auto"/>
        <w:jc w:val="both"/>
        <w:rPr>
          <w:rFonts w:ascii="Arial" w:eastAsia="Times New Roman" w:hAnsi="Arial" w:cs="Arial"/>
          <w:sz w:val="24"/>
          <w:szCs w:val="24"/>
        </w:rPr>
      </w:pPr>
      <w:r w:rsidRPr="002B26F0">
        <w:rPr>
          <w:rFonts w:ascii="Arial" w:eastAsia="Times New Roman" w:hAnsi="Arial" w:cs="Arial"/>
          <w:b/>
          <w:sz w:val="24"/>
          <w:szCs w:val="24"/>
        </w:rPr>
        <w:t xml:space="preserve">Article 1(3) of The </w:t>
      </w:r>
      <w:r w:rsidRPr="0005548A">
        <w:rPr>
          <w:rFonts w:ascii="Arial" w:eastAsia="Times New Roman" w:hAnsi="Arial" w:cs="Arial"/>
          <w:b/>
          <w:sz w:val="24"/>
          <w:szCs w:val="24"/>
        </w:rPr>
        <w:t>Constitution</w:t>
      </w:r>
      <w:r>
        <w:rPr>
          <w:rFonts w:ascii="Arial" w:eastAsia="Times New Roman" w:hAnsi="Arial" w:cs="Arial"/>
          <w:b/>
          <w:sz w:val="24"/>
          <w:szCs w:val="24"/>
        </w:rPr>
        <w:t xml:space="preserve"> </w:t>
      </w:r>
      <w:r w:rsidRPr="0005548A">
        <w:rPr>
          <w:rFonts w:ascii="Arial" w:eastAsia="Times New Roman" w:hAnsi="Arial" w:cs="Arial"/>
          <w:sz w:val="24"/>
          <w:szCs w:val="24"/>
        </w:rPr>
        <w:t xml:space="preserve">provides for constitutional supremacy </w:t>
      </w:r>
      <w:r w:rsidRPr="002B26F0">
        <w:rPr>
          <w:rFonts w:ascii="Arial" w:eastAsia="Times New Roman" w:hAnsi="Arial" w:cs="Arial"/>
          <w:sz w:val="24"/>
          <w:szCs w:val="24"/>
        </w:rPr>
        <w:t>and reads thus, t</w:t>
      </w:r>
      <w:r w:rsidRPr="0005548A">
        <w:rPr>
          <w:rFonts w:ascii="Arial" w:eastAsia="Times New Roman" w:hAnsi="Arial" w:cs="Arial"/>
          <w:sz w:val="24"/>
          <w:szCs w:val="24"/>
        </w:rPr>
        <w:t>his Constitution is the supreme law of Zambia and if any other law is inconsistent with this Constitution that other law shall, to the extent of the inconsistency, be void.</w:t>
      </w:r>
    </w:p>
    <w:p w:rsidR="00AC6D5F" w:rsidRDefault="00DB4E51" w:rsidP="00945DB5">
      <w:pPr>
        <w:spacing w:line="360" w:lineRule="auto"/>
        <w:jc w:val="both"/>
        <w:rPr>
          <w:rFonts w:ascii="Arial" w:hAnsi="Arial" w:cs="Arial"/>
          <w:sz w:val="24"/>
          <w:szCs w:val="24"/>
        </w:rPr>
      </w:pPr>
      <w:r w:rsidRPr="00DB4E51">
        <w:rPr>
          <w:rFonts w:ascii="Arial" w:hAnsi="Arial" w:cs="Arial"/>
          <w:bCs/>
          <w:iCs/>
          <w:sz w:val="24"/>
          <w:szCs w:val="24"/>
        </w:rPr>
        <w:t>According to</w:t>
      </w:r>
      <w:r>
        <w:rPr>
          <w:rFonts w:ascii="Arial" w:hAnsi="Arial" w:cs="Arial"/>
          <w:b/>
          <w:bCs/>
          <w:iCs/>
          <w:sz w:val="24"/>
          <w:szCs w:val="24"/>
        </w:rPr>
        <w:t xml:space="preserve"> </w:t>
      </w:r>
      <w:r w:rsidRPr="00DB4E51">
        <w:rPr>
          <w:rFonts w:ascii="Arial" w:hAnsi="Arial" w:cs="Arial"/>
          <w:b/>
          <w:bCs/>
          <w:iCs/>
          <w:sz w:val="24"/>
          <w:szCs w:val="24"/>
        </w:rPr>
        <w:t>Section 248A of The Penal Code</w:t>
      </w:r>
      <w:r w:rsidR="00D67EAC">
        <w:rPr>
          <w:rFonts w:ascii="Arial" w:hAnsi="Arial" w:cs="Arial"/>
          <w:b/>
          <w:bCs/>
          <w:iCs/>
          <w:sz w:val="24"/>
          <w:szCs w:val="24"/>
        </w:rPr>
        <w:t>,</w:t>
      </w:r>
      <w:r w:rsidR="00041B8B" w:rsidRPr="00DB4E51">
        <w:rPr>
          <w:rFonts w:ascii="Arial" w:hAnsi="Arial" w:cs="Arial"/>
          <w:b/>
          <w:bCs/>
          <w:i/>
          <w:iCs/>
          <w:sz w:val="24"/>
          <w:szCs w:val="24"/>
        </w:rPr>
        <w:t xml:space="preserve"> </w:t>
      </w:r>
      <w:r w:rsidR="00041B8B" w:rsidRPr="00DB4E51">
        <w:rPr>
          <w:rFonts w:ascii="Arial" w:hAnsi="Arial" w:cs="Arial"/>
          <w:sz w:val="24"/>
          <w:szCs w:val="24"/>
        </w:rPr>
        <w:t xml:space="preserve">a person who is found guilty of committing assault or battery on a child may be sentenced to imprisonment for a minimum term of five years and </w:t>
      </w:r>
      <w:r>
        <w:rPr>
          <w:rFonts w:ascii="Arial" w:hAnsi="Arial" w:cs="Arial"/>
          <w:sz w:val="24"/>
          <w:szCs w:val="24"/>
        </w:rPr>
        <w:t>a maximum term of fifteen years.</w:t>
      </w:r>
    </w:p>
    <w:p w:rsidR="00D67EAC" w:rsidRPr="00D67EAC" w:rsidRDefault="00D67EAC" w:rsidP="00945DB5">
      <w:pPr>
        <w:spacing w:line="360" w:lineRule="auto"/>
        <w:jc w:val="both"/>
        <w:rPr>
          <w:rFonts w:ascii="Arial" w:hAnsi="Arial" w:cs="Arial"/>
          <w:b/>
          <w:sz w:val="24"/>
          <w:szCs w:val="24"/>
        </w:rPr>
      </w:pPr>
      <w:r w:rsidRPr="00D67EAC">
        <w:rPr>
          <w:rFonts w:ascii="Arial" w:hAnsi="Arial" w:cs="Arial"/>
          <w:b/>
          <w:sz w:val="24"/>
          <w:szCs w:val="24"/>
        </w:rPr>
        <w:t>Citing a case</w:t>
      </w:r>
    </w:p>
    <w:p w:rsidR="00D67EAC" w:rsidRPr="00E76AE4" w:rsidRDefault="00D67EAC" w:rsidP="00945DB5">
      <w:pPr>
        <w:pStyle w:val="Default"/>
        <w:spacing w:line="360" w:lineRule="auto"/>
        <w:jc w:val="both"/>
      </w:pPr>
      <w:r w:rsidRPr="00D67EAC">
        <w:t xml:space="preserve">In </w:t>
      </w:r>
      <w:r w:rsidRPr="00D67EAC">
        <w:rPr>
          <w:b/>
          <w:bCs/>
          <w:iCs/>
        </w:rPr>
        <w:t xml:space="preserve">Zambia National Holdings and UNIP v The Attorney General, </w:t>
      </w:r>
      <w:r w:rsidRPr="00D67EAC">
        <w:t>it was held that the jurisdiction of the High Court is unlimited but not limitless; the court must exercise its jurisdiction in accordance with the law</w:t>
      </w:r>
      <w:r w:rsidRPr="00E76AE4">
        <w:t>.</w:t>
      </w:r>
      <w:r w:rsidR="00E76AE4" w:rsidRPr="00E76AE4">
        <w:t xml:space="preserve"> Although litigants have the right to be heard, the court may only enforce this right within its legal limits</w:t>
      </w:r>
      <w:r w:rsidR="00E76AE4">
        <w:t>.</w:t>
      </w:r>
    </w:p>
    <w:p w:rsidR="00E76AE4" w:rsidRDefault="00E76AE4" w:rsidP="00945DB5">
      <w:pPr>
        <w:pStyle w:val="Default"/>
        <w:spacing w:line="360" w:lineRule="auto"/>
        <w:jc w:val="both"/>
        <w:rPr>
          <w:sz w:val="23"/>
          <w:szCs w:val="23"/>
        </w:rPr>
      </w:pPr>
    </w:p>
    <w:p w:rsidR="00E76AE4" w:rsidRDefault="00E76AE4" w:rsidP="00945DB5">
      <w:pPr>
        <w:pStyle w:val="Default"/>
        <w:spacing w:line="360" w:lineRule="auto"/>
        <w:jc w:val="both"/>
        <w:rPr>
          <w:sz w:val="23"/>
          <w:szCs w:val="23"/>
        </w:rPr>
      </w:pPr>
    </w:p>
    <w:p w:rsidR="00DE38A4" w:rsidRDefault="00DE38A4" w:rsidP="00945DB5">
      <w:pPr>
        <w:spacing w:line="360" w:lineRule="auto"/>
        <w:jc w:val="both"/>
      </w:pPr>
    </w:p>
    <w:p w:rsidR="00D67EAC" w:rsidRPr="00D67EAC" w:rsidRDefault="004748C6" w:rsidP="00945DB5">
      <w:pPr>
        <w:spacing w:line="360" w:lineRule="auto"/>
        <w:jc w:val="both"/>
        <w:rPr>
          <w:rFonts w:ascii="Arial" w:hAnsi="Arial" w:cs="Arial"/>
          <w:b/>
          <w:sz w:val="24"/>
          <w:szCs w:val="24"/>
        </w:rPr>
      </w:pPr>
      <w:r w:rsidRPr="00D67EAC">
        <w:rPr>
          <w:rFonts w:ascii="Arial" w:hAnsi="Arial" w:cs="Arial"/>
          <w:b/>
          <w:sz w:val="24"/>
          <w:szCs w:val="24"/>
        </w:rPr>
        <w:t>Citing books</w:t>
      </w:r>
    </w:p>
    <w:p w:rsidR="00D67EAC" w:rsidRDefault="00D67EAC" w:rsidP="00945DB5">
      <w:pPr>
        <w:tabs>
          <w:tab w:val="left" w:pos="2460"/>
        </w:tabs>
        <w:spacing w:after="160" w:line="360" w:lineRule="auto"/>
        <w:jc w:val="both"/>
        <w:rPr>
          <w:rFonts w:ascii="Arial" w:eastAsia="Times New Roman" w:hAnsi="Arial" w:cs="Arial"/>
          <w:bCs/>
          <w:color w:val="1D1B11" w:themeColor="background2" w:themeShade="1A"/>
          <w:sz w:val="24"/>
          <w:szCs w:val="24"/>
        </w:rPr>
      </w:pPr>
      <w:r w:rsidRPr="0005548A">
        <w:rPr>
          <w:rFonts w:ascii="Arial" w:eastAsia="Times New Roman" w:hAnsi="Arial" w:cs="Arial"/>
          <w:bCs/>
          <w:color w:val="1D1B11" w:themeColor="background2" w:themeShade="1A"/>
          <w:sz w:val="24"/>
          <w:szCs w:val="24"/>
        </w:rPr>
        <w:t>The term Constitutional supremacy means that, the constitution is supreme over parliament and its decisions. Parliament can exercise its function being only within bounds of the constitution. Constitutional supremacy is only possible where the constitution is written and rigid form mostly.</w:t>
      </w:r>
      <w:r>
        <w:rPr>
          <w:rFonts w:ascii="Arial" w:eastAsia="Times New Roman" w:hAnsi="Arial" w:cs="Arial"/>
          <w:sz w:val="24"/>
          <w:szCs w:val="24"/>
        </w:rPr>
        <w:t xml:space="preserve"> </w:t>
      </w:r>
      <w:r w:rsidRPr="0005548A">
        <w:rPr>
          <w:rFonts w:ascii="Arial" w:eastAsia="Times New Roman" w:hAnsi="Arial" w:cs="Arial"/>
          <w:bCs/>
          <w:color w:val="1D1B11" w:themeColor="background2" w:themeShade="1A"/>
          <w:sz w:val="24"/>
          <w:szCs w:val="24"/>
        </w:rPr>
        <w:t xml:space="preserve">In essence, the constitution cannot be challenged by either the legislature (parliament) or the executive (the president and cabinet). The constitution cannot be challenged as it is the grand norm. Every other law that exists in the land is subordinate to the constitution and where there is a conflict between the constitution and another law, the constitution supersedes. </w:t>
      </w:r>
    </w:p>
    <w:p w:rsidR="00771F4F" w:rsidRDefault="00771F4F" w:rsidP="00945DB5">
      <w:pPr>
        <w:tabs>
          <w:tab w:val="left" w:pos="2460"/>
        </w:tabs>
        <w:spacing w:after="160" w:line="360" w:lineRule="auto"/>
        <w:jc w:val="both"/>
        <w:rPr>
          <w:rFonts w:ascii="Arial" w:eastAsia="Times New Roman" w:hAnsi="Arial" w:cs="Arial"/>
          <w:bCs/>
          <w:color w:val="1D1B11" w:themeColor="background2" w:themeShade="1A"/>
          <w:sz w:val="24"/>
          <w:szCs w:val="24"/>
        </w:rPr>
      </w:pPr>
    </w:p>
    <w:p w:rsidR="00771F4F" w:rsidRPr="00DE1090" w:rsidRDefault="00771F4F" w:rsidP="00945DB5">
      <w:pPr>
        <w:tabs>
          <w:tab w:val="left" w:pos="2460"/>
        </w:tabs>
        <w:spacing w:after="160" w:line="360" w:lineRule="auto"/>
        <w:jc w:val="both"/>
        <w:rPr>
          <w:rFonts w:ascii="Arial" w:eastAsia="Times New Roman" w:hAnsi="Arial" w:cs="Arial"/>
          <w:b/>
          <w:bCs/>
          <w:color w:val="1D1B11" w:themeColor="background2" w:themeShade="1A"/>
          <w:sz w:val="24"/>
          <w:szCs w:val="24"/>
        </w:rPr>
      </w:pPr>
      <w:r w:rsidRPr="00DE1090">
        <w:rPr>
          <w:rFonts w:ascii="Arial" w:eastAsia="Times New Roman" w:hAnsi="Arial" w:cs="Arial"/>
          <w:b/>
          <w:bCs/>
          <w:color w:val="1D1B11" w:themeColor="background2" w:themeShade="1A"/>
          <w:sz w:val="24"/>
          <w:szCs w:val="24"/>
        </w:rPr>
        <w:t>Citing a journal</w:t>
      </w:r>
    </w:p>
    <w:p w:rsidR="00771F4F" w:rsidRPr="00771F4F" w:rsidRDefault="00771F4F" w:rsidP="00945DB5">
      <w:pPr>
        <w:spacing w:after="0" w:line="360" w:lineRule="auto"/>
        <w:jc w:val="both"/>
        <w:rPr>
          <w:rFonts w:ascii="Arial" w:eastAsia="Times New Roman" w:hAnsi="Arial" w:cs="Arial"/>
          <w:sz w:val="24"/>
          <w:szCs w:val="24"/>
        </w:rPr>
      </w:pPr>
      <w:r w:rsidRPr="00771F4F">
        <w:rPr>
          <w:rFonts w:ascii="Arial" w:eastAsia="Times New Roman" w:hAnsi="Arial" w:cs="Arial"/>
          <w:sz w:val="24"/>
          <w:szCs w:val="24"/>
        </w:rPr>
        <w:lastRenderedPageBreak/>
        <w:t>The Law Association of Zambia (LAZ) has raised the need to</w:t>
      </w:r>
      <w:r>
        <w:rPr>
          <w:rFonts w:ascii="Arial" w:eastAsia="Times New Roman" w:hAnsi="Arial" w:cs="Arial"/>
          <w:sz w:val="24"/>
          <w:szCs w:val="24"/>
        </w:rPr>
        <w:t xml:space="preserve"> reform the Zambian </w:t>
      </w:r>
      <w:r w:rsidRPr="00771F4F">
        <w:rPr>
          <w:rFonts w:ascii="Arial" w:eastAsia="Times New Roman" w:hAnsi="Arial" w:cs="Arial"/>
          <w:sz w:val="24"/>
          <w:szCs w:val="24"/>
        </w:rPr>
        <w:t>judiciary, and has argued that the judiciary in Zambia is</w:t>
      </w:r>
      <w:r>
        <w:rPr>
          <w:rFonts w:ascii="Arial" w:eastAsia="Times New Roman" w:hAnsi="Arial" w:cs="Arial"/>
          <w:sz w:val="24"/>
          <w:szCs w:val="24"/>
        </w:rPr>
        <w:t xml:space="preserve"> </w:t>
      </w:r>
      <w:r w:rsidRPr="00771F4F">
        <w:rPr>
          <w:rFonts w:ascii="Arial" w:eastAsia="Times New Roman" w:hAnsi="Arial" w:cs="Arial"/>
          <w:sz w:val="24"/>
          <w:szCs w:val="24"/>
        </w:rPr>
        <w:t>inefficient, corrupt and has lost i</w:t>
      </w:r>
      <w:r>
        <w:rPr>
          <w:rFonts w:ascii="Arial" w:eastAsia="Times New Roman" w:hAnsi="Arial" w:cs="Arial"/>
          <w:sz w:val="24"/>
          <w:szCs w:val="24"/>
        </w:rPr>
        <w:t xml:space="preserve">ts sense of accountability. </w:t>
      </w:r>
      <w:r w:rsidR="00DE1090">
        <w:rPr>
          <w:rFonts w:ascii="Arial" w:eastAsia="Times New Roman" w:hAnsi="Arial" w:cs="Arial"/>
          <w:sz w:val="24"/>
          <w:szCs w:val="24"/>
        </w:rPr>
        <w:t>Reforms must be undertaken because lawyers are guardians of justice. They are the promoters and the protectors of integrity in society.</w:t>
      </w:r>
    </w:p>
    <w:p w:rsidR="00771F4F" w:rsidRDefault="00771F4F" w:rsidP="00945DB5">
      <w:pPr>
        <w:tabs>
          <w:tab w:val="left" w:pos="2460"/>
        </w:tabs>
        <w:spacing w:after="160" w:line="360" w:lineRule="auto"/>
        <w:jc w:val="both"/>
        <w:rPr>
          <w:rFonts w:ascii="Arial" w:eastAsia="Times New Roman" w:hAnsi="Arial" w:cs="Arial"/>
          <w:bCs/>
          <w:color w:val="1D1B11" w:themeColor="background2" w:themeShade="1A"/>
          <w:sz w:val="24"/>
          <w:szCs w:val="24"/>
        </w:rPr>
      </w:pPr>
    </w:p>
    <w:p w:rsidR="00DE1090" w:rsidRDefault="00DE1090" w:rsidP="00945DB5">
      <w:pPr>
        <w:tabs>
          <w:tab w:val="left" w:pos="2460"/>
        </w:tabs>
        <w:spacing w:after="160" w:line="360" w:lineRule="auto"/>
        <w:jc w:val="both"/>
        <w:rPr>
          <w:rFonts w:ascii="Arial" w:eastAsia="Times New Roman" w:hAnsi="Arial" w:cs="Arial"/>
          <w:bCs/>
          <w:color w:val="1D1B11" w:themeColor="background2" w:themeShade="1A"/>
          <w:sz w:val="24"/>
          <w:szCs w:val="24"/>
        </w:rPr>
      </w:pPr>
      <w:r>
        <w:rPr>
          <w:rFonts w:ascii="Arial" w:eastAsia="Times New Roman" w:hAnsi="Arial" w:cs="Arial"/>
          <w:bCs/>
          <w:color w:val="1D1B11" w:themeColor="background2" w:themeShade="1A"/>
          <w:sz w:val="24"/>
          <w:szCs w:val="24"/>
        </w:rPr>
        <w:t>Reference must be entered in this order:</w:t>
      </w:r>
    </w:p>
    <w:p w:rsidR="00DE1090" w:rsidRDefault="00DE1090" w:rsidP="00945DB5">
      <w:pPr>
        <w:tabs>
          <w:tab w:val="left" w:pos="2460"/>
        </w:tabs>
        <w:spacing w:after="160" w:line="360" w:lineRule="auto"/>
        <w:jc w:val="both"/>
        <w:rPr>
          <w:rFonts w:ascii="Arial" w:eastAsia="Times New Roman" w:hAnsi="Arial" w:cs="Arial"/>
          <w:bCs/>
          <w:color w:val="1D1B11" w:themeColor="background2" w:themeShade="1A"/>
          <w:sz w:val="24"/>
          <w:szCs w:val="24"/>
        </w:rPr>
      </w:pPr>
    </w:p>
    <w:p w:rsidR="00DE1090" w:rsidRDefault="00DE1090" w:rsidP="00945DB5">
      <w:pPr>
        <w:tabs>
          <w:tab w:val="left" w:pos="2460"/>
        </w:tabs>
        <w:spacing w:after="160" w:line="360" w:lineRule="auto"/>
        <w:jc w:val="both"/>
        <w:rPr>
          <w:rFonts w:ascii="Arial" w:eastAsia="Times New Roman" w:hAnsi="Arial" w:cs="Arial"/>
          <w:bCs/>
          <w:color w:val="1D1B11" w:themeColor="background2" w:themeShade="1A"/>
          <w:sz w:val="24"/>
          <w:szCs w:val="24"/>
        </w:rPr>
      </w:pPr>
      <w:r w:rsidRPr="00DE1090">
        <w:rPr>
          <w:rFonts w:ascii="Arial" w:hAnsi="Arial" w:cs="Arial"/>
          <w:sz w:val="24"/>
          <w:szCs w:val="24"/>
        </w:rPr>
        <w:t>Author/</w:t>
      </w:r>
      <w:r w:rsidRPr="00DE1090">
        <w:rPr>
          <w:rFonts w:ascii="Arial" w:hAnsi="Arial" w:cs="Arial"/>
          <w:i/>
          <w:iCs/>
          <w:sz w:val="24"/>
          <w:szCs w:val="24"/>
        </w:rPr>
        <w:t>‘Title’</w:t>
      </w:r>
      <w:r w:rsidRPr="00DE1090">
        <w:rPr>
          <w:rFonts w:ascii="Arial" w:hAnsi="Arial" w:cs="Arial"/>
          <w:sz w:val="24"/>
          <w:szCs w:val="24"/>
        </w:rPr>
        <w:t>/date/volume number/journal title/start page</w:t>
      </w:r>
    </w:p>
    <w:p w:rsidR="00945DB5" w:rsidRPr="00945DB5" w:rsidRDefault="00945DB5" w:rsidP="00945DB5">
      <w:pPr>
        <w:tabs>
          <w:tab w:val="left" w:pos="2460"/>
        </w:tabs>
        <w:spacing w:after="160" w:line="360" w:lineRule="auto"/>
        <w:jc w:val="both"/>
        <w:rPr>
          <w:rFonts w:ascii="Arial" w:eastAsia="Times New Roman" w:hAnsi="Arial" w:cs="Arial"/>
          <w:bCs/>
          <w:color w:val="1D1B11" w:themeColor="background2" w:themeShade="1A"/>
          <w:sz w:val="24"/>
          <w:szCs w:val="24"/>
        </w:rPr>
      </w:pPr>
      <w:bookmarkStart w:id="0" w:name="_GoBack"/>
      <w:bookmarkEnd w:id="0"/>
    </w:p>
    <w:p w:rsidR="00D67EAC" w:rsidRDefault="009361A1" w:rsidP="00945DB5">
      <w:pPr>
        <w:spacing w:line="360" w:lineRule="auto"/>
        <w:rPr>
          <w:rFonts w:ascii="Arial" w:eastAsia="Times New Roman" w:hAnsi="Arial" w:cs="Arial"/>
          <w:b/>
          <w:bCs/>
          <w:color w:val="1D1B11" w:themeColor="background2" w:themeShade="1A"/>
          <w:sz w:val="24"/>
          <w:szCs w:val="24"/>
        </w:rPr>
      </w:pPr>
      <w:r w:rsidRPr="009361A1">
        <w:rPr>
          <w:rFonts w:ascii="Arial" w:eastAsia="Times New Roman" w:hAnsi="Arial" w:cs="Arial"/>
          <w:b/>
          <w:bCs/>
          <w:color w:val="1D1B11" w:themeColor="background2" w:themeShade="1A"/>
          <w:sz w:val="24"/>
          <w:szCs w:val="24"/>
        </w:rPr>
        <w:t>Internet source</w:t>
      </w:r>
      <w:r w:rsidR="00DE1090">
        <w:rPr>
          <w:rFonts w:ascii="Arial" w:eastAsia="Times New Roman" w:hAnsi="Arial" w:cs="Arial"/>
          <w:b/>
          <w:bCs/>
          <w:color w:val="1D1B11" w:themeColor="background2" w:themeShade="1A"/>
          <w:sz w:val="24"/>
          <w:szCs w:val="24"/>
        </w:rPr>
        <w:t>s</w:t>
      </w:r>
    </w:p>
    <w:p w:rsidR="00F97285" w:rsidRPr="0005548A" w:rsidRDefault="00F97285" w:rsidP="00945DB5">
      <w:pPr>
        <w:spacing w:after="160" w:line="360" w:lineRule="auto"/>
        <w:jc w:val="both"/>
        <w:rPr>
          <w:rFonts w:ascii="Arial" w:eastAsia="Times New Roman" w:hAnsi="Arial" w:cs="Arial"/>
          <w:sz w:val="24"/>
          <w:szCs w:val="24"/>
        </w:rPr>
      </w:pPr>
      <w:r>
        <w:rPr>
          <w:rFonts w:ascii="Arial" w:eastAsia="Times New Roman" w:hAnsi="Arial" w:cs="Arial"/>
          <w:sz w:val="24"/>
          <w:szCs w:val="24"/>
        </w:rPr>
        <w:t>A</w:t>
      </w:r>
      <w:r w:rsidRPr="0005548A">
        <w:rPr>
          <w:rFonts w:ascii="Arial" w:eastAsia="Times New Roman" w:hAnsi="Arial" w:cs="Arial"/>
          <w:sz w:val="24"/>
          <w:szCs w:val="24"/>
        </w:rPr>
        <w:t xml:space="preserve"> constitution has a legal authority because it was enacted by a body recognized as competent to give the force of law. The body </w:t>
      </w:r>
      <w:r w:rsidRPr="002B26F0">
        <w:rPr>
          <w:rFonts w:ascii="Arial" w:eastAsia="Times New Roman" w:hAnsi="Arial" w:cs="Arial"/>
          <w:sz w:val="24"/>
          <w:szCs w:val="24"/>
        </w:rPr>
        <w:t>external</w:t>
      </w:r>
      <w:r w:rsidRPr="0005548A">
        <w:rPr>
          <w:rFonts w:ascii="Arial" w:eastAsia="Times New Roman" w:hAnsi="Arial" w:cs="Arial"/>
          <w:sz w:val="24"/>
          <w:szCs w:val="24"/>
        </w:rPr>
        <w:t xml:space="preserve"> legislative body, the people themselves or a constitutional assembly chose by the people.</w:t>
      </w:r>
    </w:p>
    <w:p w:rsidR="00F97285" w:rsidRPr="00D11FDB" w:rsidRDefault="00F97285" w:rsidP="00945DB5">
      <w:pPr>
        <w:spacing w:line="360" w:lineRule="auto"/>
        <w:rPr>
          <w:rFonts w:ascii="Arial" w:hAnsi="Arial" w:cs="Arial"/>
          <w:sz w:val="24"/>
          <w:szCs w:val="24"/>
        </w:rPr>
      </w:pPr>
      <w:r>
        <w:rPr>
          <w:rFonts w:ascii="Arial" w:hAnsi="Arial" w:cs="Arial"/>
          <w:b/>
          <w:sz w:val="24"/>
          <w:szCs w:val="24"/>
        </w:rPr>
        <w:t xml:space="preserve">Source: </w:t>
      </w:r>
      <w:hyperlink r:id="rId9" w:history="1">
        <w:r w:rsidRPr="00D92EA3">
          <w:rPr>
            <w:rStyle w:val="Hyperlink"/>
            <w:rFonts w:ascii="Arial" w:hAnsi="Arial" w:cs="Arial"/>
            <w:b/>
            <w:sz w:val="24"/>
            <w:szCs w:val="24"/>
          </w:rPr>
          <w:t xml:space="preserve">http://njavwasinkamba.blogspot.com/2014/07/constitutional-and-parliamentary.html </w:t>
        </w:r>
        <w:r w:rsidRPr="00D11FDB">
          <w:rPr>
            <w:rStyle w:val="Hyperlink"/>
            <w:rFonts w:ascii="Arial" w:hAnsi="Arial" w:cs="Arial"/>
            <w:sz w:val="24"/>
            <w:szCs w:val="24"/>
          </w:rPr>
          <w:t>accessed 16/5/2018 at 16:38</w:t>
        </w:r>
      </w:hyperlink>
      <w:r>
        <w:rPr>
          <w:rFonts w:ascii="Arial" w:hAnsi="Arial" w:cs="Arial"/>
          <w:b/>
          <w:sz w:val="24"/>
          <w:szCs w:val="24"/>
        </w:rPr>
        <w:t xml:space="preserve"> </w:t>
      </w:r>
      <w:r w:rsidRPr="00D11FDB">
        <w:rPr>
          <w:rFonts w:ascii="Arial" w:hAnsi="Arial" w:cs="Arial"/>
          <w:sz w:val="24"/>
          <w:szCs w:val="24"/>
        </w:rPr>
        <w:t>hours</w:t>
      </w:r>
    </w:p>
    <w:p w:rsidR="009361A1" w:rsidRDefault="009361A1" w:rsidP="00945DB5">
      <w:pPr>
        <w:spacing w:line="360" w:lineRule="auto"/>
        <w:rPr>
          <w:b/>
        </w:rPr>
      </w:pPr>
    </w:p>
    <w:p w:rsidR="00584108" w:rsidRDefault="00584108" w:rsidP="00945DB5">
      <w:pPr>
        <w:spacing w:line="360" w:lineRule="auto"/>
        <w:rPr>
          <w:b/>
        </w:rPr>
      </w:pPr>
    </w:p>
    <w:p w:rsidR="00584108" w:rsidRDefault="00584108" w:rsidP="00945DB5">
      <w:pPr>
        <w:spacing w:line="360" w:lineRule="auto"/>
        <w:rPr>
          <w:b/>
        </w:rPr>
      </w:pPr>
    </w:p>
    <w:p w:rsidR="00584108" w:rsidRDefault="00584108" w:rsidP="00945DB5">
      <w:pPr>
        <w:spacing w:line="360" w:lineRule="auto"/>
        <w:rPr>
          <w:b/>
        </w:rPr>
      </w:pPr>
    </w:p>
    <w:p w:rsidR="00584108" w:rsidRDefault="00584108" w:rsidP="00945DB5">
      <w:pPr>
        <w:spacing w:line="360" w:lineRule="auto"/>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Default="00584108">
      <w:pPr>
        <w:rPr>
          <w:b/>
        </w:rPr>
      </w:pPr>
    </w:p>
    <w:p w:rsidR="00584108" w:rsidRPr="00584108" w:rsidRDefault="00584108" w:rsidP="00584108">
      <w:pPr>
        <w:spacing w:line="360" w:lineRule="auto"/>
        <w:jc w:val="center"/>
        <w:rPr>
          <w:rFonts w:ascii="Arial" w:hAnsi="Arial" w:cs="Arial"/>
          <w:b/>
          <w:sz w:val="24"/>
          <w:szCs w:val="24"/>
        </w:rPr>
      </w:pPr>
      <w:r>
        <w:rPr>
          <w:rFonts w:ascii="Arial" w:hAnsi="Arial" w:cs="Arial"/>
          <w:b/>
          <w:sz w:val="24"/>
          <w:szCs w:val="24"/>
        </w:rPr>
        <w:t>REFERENCES</w:t>
      </w:r>
    </w:p>
    <w:sectPr w:rsidR="00584108" w:rsidRPr="00584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72" w:rsidRDefault="000B3972" w:rsidP="00DB4E51">
      <w:pPr>
        <w:spacing w:after="0" w:line="240" w:lineRule="auto"/>
      </w:pPr>
      <w:r>
        <w:separator/>
      </w:r>
    </w:p>
  </w:endnote>
  <w:endnote w:type="continuationSeparator" w:id="0">
    <w:p w:rsidR="000B3972" w:rsidRDefault="000B3972" w:rsidP="00DB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72" w:rsidRDefault="000B3972" w:rsidP="00DB4E51">
      <w:pPr>
        <w:spacing w:after="0" w:line="240" w:lineRule="auto"/>
      </w:pPr>
      <w:r>
        <w:separator/>
      </w:r>
    </w:p>
  </w:footnote>
  <w:footnote w:type="continuationSeparator" w:id="0">
    <w:p w:rsidR="000B3972" w:rsidRDefault="000B3972" w:rsidP="00DB4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46A51"/>
    <w:multiLevelType w:val="hybridMultilevel"/>
    <w:tmpl w:val="C464E282"/>
    <w:lvl w:ilvl="0" w:tplc="10C25570">
      <w:start w:val="1"/>
      <w:numFmt w:val="bullet"/>
      <w:lvlText w:val="•"/>
      <w:lvlJc w:val="left"/>
      <w:pPr>
        <w:tabs>
          <w:tab w:val="num" w:pos="720"/>
        </w:tabs>
        <w:ind w:left="720" w:hanging="360"/>
      </w:pPr>
      <w:rPr>
        <w:rFonts w:ascii="Arial" w:hAnsi="Arial" w:hint="default"/>
      </w:rPr>
    </w:lvl>
    <w:lvl w:ilvl="1" w:tplc="28968322" w:tentative="1">
      <w:start w:val="1"/>
      <w:numFmt w:val="bullet"/>
      <w:lvlText w:val="•"/>
      <w:lvlJc w:val="left"/>
      <w:pPr>
        <w:tabs>
          <w:tab w:val="num" w:pos="1440"/>
        </w:tabs>
        <w:ind w:left="1440" w:hanging="360"/>
      </w:pPr>
      <w:rPr>
        <w:rFonts w:ascii="Arial" w:hAnsi="Arial" w:hint="default"/>
      </w:rPr>
    </w:lvl>
    <w:lvl w:ilvl="2" w:tplc="4452812C" w:tentative="1">
      <w:start w:val="1"/>
      <w:numFmt w:val="bullet"/>
      <w:lvlText w:val="•"/>
      <w:lvlJc w:val="left"/>
      <w:pPr>
        <w:tabs>
          <w:tab w:val="num" w:pos="2160"/>
        </w:tabs>
        <w:ind w:left="2160" w:hanging="360"/>
      </w:pPr>
      <w:rPr>
        <w:rFonts w:ascii="Arial" w:hAnsi="Arial" w:hint="default"/>
      </w:rPr>
    </w:lvl>
    <w:lvl w:ilvl="3" w:tplc="F6E42768" w:tentative="1">
      <w:start w:val="1"/>
      <w:numFmt w:val="bullet"/>
      <w:lvlText w:val="•"/>
      <w:lvlJc w:val="left"/>
      <w:pPr>
        <w:tabs>
          <w:tab w:val="num" w:pos="2880"/>
        </w:tabs>
        <w:ind w:left="2880" w:hanging="360"/>
      </w:pPr>
      <w:rPr>
        <w:rFonts w:ascii="Arial" w:hAnsi="Arial" w:hint="default"/>
      </w:rPr>
    </w:lvl>
    <w:lvl w:ilvl="4" w:tplc="2176155C" w:tentative="1">
      <w:start w:val="1"/>
      <w:numFmt w:val="bullet"/>
      <w:lvlText w:val="•"/>
      <w:lvlJc w:val="left"/>
      <w:pPr>
        <w:tabs>
          <w:tab w:val="num" w:pos="3600"/>
        </w:tabs>
        <w:ind w:left="3600" w:hanging="360"/>
      </w:pPr>
      <w:rPr>
        <w:rFonts w:ascii="Arial" w:hAnsi="Arial" w:hint="default"/>
      </w:rPr>
    </w:lvl>
    <w:lvl w:ilvl="5" w:tplc="EFB6A450" w:tentative="1">
      <w:start w:val="1"/>
      <w:numFmt w:val="bullet"/>
      <w:lvlText w:val="•"/>
      <w:lvlJc w:val="left"/>
      <w:pPr>
        <w:tabs>
          <w:tab w:val="num" w:pos="4320"/>
        </w:tabs>
        <w:ind w:left="4320" w:hanging="360"/>
      </w:pPr>
      <w:rPr>
        <w:rFonts w:ascii="Arial" w:hAnsi="Arial" w:hint="default"/>
      </w:rPr>
    </w:lvl>
    <w:lvl w:ilvl="6" w:tplc="14A6A39E" w:tentative="1">
      <w:start w:val="1"/>
      <w:numFmt w:val="bullet"/>
      <w:lvlText w:val="•"/>
      <w:lvlJc w:val="left"/>
      <w:pPr>
        <w:tabs>
          <w:tab w:val="num" w:pos="5040"/>
        </w:tabs>
        <w:ind w:left="5040" w:hanging="360"/>
      </w:pPr>
      <w:rPr>
        <w:rFonts w:ascii="Arial" w:hAnsi="Arial" w:hint="default"/>
      </w:rPr>
    </w:lvl>
    <w:lvl w:ilvl="7" w:tplc="6A9E9618" w:tentative="1">
      <w:start w:val="1"/>
      <w:numFmt w:val="bullet"/>
      <w:lvlText w:val="•"/>
      <w:lvlJc w:val="left"/>
      <w:pPr>
        <w:tabs>
          <w:tab w:val="num" w:pos="5760"/>
        </w:tabs>
        <w:ind w:left="5760" w:hanging="360"/>
      </w:pPr>
      <w:rPr>
        <w:rFonts w:ascii="Arial" w:hAnsi="Arial" w:hint="default"/>
      </w:rPr>
    </w:lvl>
    <w:lvl w:ilvl="8" w:tplc="81946FA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51"/>
    <w:rsid w:val="00041B8B"/>
    <w:rsid w:val="000B3972"/>
    <w:rsid w:val="004748C6"/>
    <w:rsid w:val="00584108"/>
    <w:rsid w:val="00742B39"/>
    <w:rsid w:val="00771F4F"/>
    <w:rsid w:val="00932247"/>
    <w:rsid w:val="009361A1"/>
    <w:rsid w:val="00945DB5"/>
    <w:rsid w:val="0095417C"/>
    <w:rsid w:val="00AB6A89"/>
    <w:rsid w:val="00AC6D5F"/>
    <w:rsid w:val="00D67EAC"/>
    <w:rsid w:val="00DB4E51"/>
    <w:rsid w:val="00DE1090"/>
    <w:rsid w:val="00DE38A4"/>
    <w:rsid w:val="00E32C47"/>
    <w:rsid w:val="00E76AE4"/>
    <w:rsid w:val="00EE5619"/>
    <w:rsid w:val="00F9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E51"/>
    <w:rPr>
      <w:sz w:val="20"/>
      <w:szCs w:val="20"/>
    </w:rPr>
  </w:style>
  <w:style w:type="character" w:styleId="FootnoteReference">
    <w:name w:val="footnote reference"/>
    <w:basedOn w:val="DefaultParagraphFont"/>
    <w:uiPriority w:val="99"/>
    <w:semiHidden/>
    <w:unhideWhenUsed/>
    <w:rsid w:val="00DB4E51"/>
    <w:rPr>
      <w:vertAlign w:val="superscript"/>
    </w:rPr>
  </w:style>
  <w:style w:type="paragraph" w:customStyle="1" w:styleId="Default">
    <w:name w:val="Default"/>
    <w:rsid w:val="00D67EA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972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E51"/>
    <w:rPr>
      <w:sz w:val="20"/>
      <w:szCs w:val="20"/>
    </w:rPr>
  </w:style>
  <w:style w:type="character" w:styleId="FootnoteReference">
    <w:name w:val="footnote reference"/>
    <w:basedOn w:val="DefaultParagraphFont"/>
    <w:uiPriority w:val="99"/>
    <w:semiHidden/>
    <w:unhideWhenUsed/>
    <w:rsid w:val="00DB4E51"/>
    <w:rPr>
      <w:vertAlign w:val="superscript"/>
    </w:rPr>
  </w:style>
  <w:style w:type="paragraph" w:customStyle="1" w:styleId="Default">
    <w:name w:val="Default"/>
    <w:rsid w:val="00D67EA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97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297691">
      <w:bodyDiv w:val="1"/>
      <w:marLeft w:val="0"/>
      <w:marRight w:val="0"/>
      <w:marTop w:val="0"/>
      <w:marBottom w:val="0"/>
      <w:divBdr>
        <w:top w:val="none" w:sz="0" w:space="0" w:color="auto"/>
        <w:left w:val="none" w:sz="0" w:space="0" w:color="auto"/>
        <w:bottom w:val="none" w:sz="0" w:space="0" w:color="auto"/>
        <w:right w:val="none" w:sz="0" w:space="0" w:color="auto"/>
      </w:divBdr>
      <w:divsChild>
        <w:div w:id="1567108796">
          <w:marLeft w:val="0"/>
          <w:marRight w:val="0"/>
          <w:marTop w:val="0"/>
          <w:marBottom w:val="0"/>
          <w:divBdr>
            <w:top w:val="none" w:sz="0" w:space="0" w:color="auto"/>
            <w:left w:val="none" w:sz="0" w:space="0" w:color="auto"/>
            <w:bottom w:val="none" w:sz="0" w:space="0" w:color="auto"/>
            <w:right w:val="none" w:sz="0" w:space="0" w:color="auto"/>
          </w:divBdr>
        </w:div>
        <w:div w:id="1816987247">
          <w:marLeft w:val="0"/>
          <w:marRight w:val="0"/>
          <w:marTop w:val="0"/>
          <w:marBottom w:val="0"/>
          <w:divBdr>
            <w:top w:val="none" w:sz="0" w:space="0" w:color="auto"/>
            <w:left w:val="none" w:sz="0" w:space="0" w:color="auto"/>
            <w:bottom w:val="none" w:sz="0" w:space="0" w:color="auto"/>
            <w:right w:val="none" w:sz="0" w:space="0" w:color="auto"/>
          </w:divBdr>
        </w:div>
        <w:div w:id="1510752546">
          <w:marLeft w:val="0"/>
          <w:marRight w:val="0"/>
          <w:marTop w:val="0"/>
          <w:marBottom w:val="0"/>
          <w:divBdr>
            <w:top w:val="none" w:sz="0" w:space="0" w:color="auto"/>
            <w:left w:val="none" w:sz="0" w:space="0" w:color="auto"/>
            <w:bottom w:val="none" w:sz="0" w:space="0" w:color="auto"/>
            <w:right w:val="none" w:sz="0" w:space="0" w:color="auto"/>
          </w:divBdr>
        </w:div>
      </w:divsChild>
    </w:div>
    <w:div w:id="1749884401">
      <w:bodyDiv w:val="1"/>
      <w:marLeft w:val="0"/>
      <w:marRight w:val="0"/>
      <w:marTop w:val="0"/>
      <w:marBottom w:val="0"/>
      <w:divBdr>
        <w:top w:val="none" w:sz="0" w:space="0" w:color="auto"/>
        <w:left w:val="none" w:sz="0" w:space="0" w:color="auto"/>
        <w:bottom w:val="none" w:sz="0" w:space="0" w:color="auto"/>
        <w:right w:val="none" w:sz="0" w:space="0" w:color="auto"/>
      </w:divBdr>
      <w:divsChild>
        <w:div w:id="122186870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javwasinkamba.blogspot.com/2014/07/constitutional-and-parliamentary.html%20accessed%2016/5/2018%20at%201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93A8D-BB57-44F1-8121-4722E9CD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DVC</dc:creator>
  <cp:lastModifiedBy>DVC</cp:lastModifiedBy>
  <cp:revision>13</cp:revision>
  <dcterms:created xsi:type="dcterms:W3CDTF">2018-08-29T06:32:00Z</dcterms:created>
  <dcterms:modified xsi:type="dcterms:W3CDTF">2019-02-22T08:01:00Z</dcterms:modified>
</cp:coreProperties>
</file>