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ABD05" w14:textId="77777777" w:rsidR="000B5AAE" w:rsidRDefault="002D5564" w:rsidP="000B5AAE">
      <w:pPr>
        <w:spacing w:line="360" w:lineRule="auto"/>
        <w:jc w:val="center"/>
        <w:rPr>
          <w:b/>
          <w:bCs/>
          <w:sz w:val="36"/>
          <w:szCs w:val="36"/>
        </w:rPr>
      </w:pPr>
      <w:r w:rsidRPr="00F875BA">
        <w:rPr>
          <w:b/>
          <w:bCs/>
          <w:sz w:val="36"/>
          <w:szCs w:val="36"/>
        </w:rPr>
        <w:t>THE UNIVERSITY OF ZAMBIA</w:t>
      </w:r>
    </w:p>
    <w:p w14:paraId="00C4B8B6" w14:textId="0B6FA85D" w:rsidR="002D5564" w:rsidRPr="000B5AAE" w:rsidRDefault="002D5564" w:rsidP="000B5AAE">
      <w:pPr>
        <w:spacing w:line="360" w:lineRule="auto"/>
        <w:jc w:val="center"/>
        <w:rPr>
          <w:b/>
          <w:bCs/>
          <w:sz w:val="36"/>
          <w:szCs w:val="36"/>
        </w:rPr>
      </w:pPr>
      <w:r w:rsidRPr="002D5564">
        <w:rPr>
          <w:b/>
          <w:bCs/>
          <w:sz w:val="28"/>
          <w:szCs w:val="28"/>
        </w:rPr>
        <w:t>SCHOOL OF HUMANITIES AND SOCIAL SCIENCES</w:t>
      </w:r>
    </w:p>
    <w:p w14:paraId="2118920B" w14:textId="6024F0B2" w:rsidR="002D5564" w:rsidRDefault="002D5564" w:rsidP="000B5AAE">
      <w:pPr>
        <w:spacing w:line="360" w:lineRule="auto"/>
        <w:jc w:val="center"/>
        <w:rPr>
          <w:b/>
          <w:bCs/>
          <w:sz w:val="28"/>
          <w:szCs w:val="28"/>
        </w:rPr>
      </w:pPr>
      <w:r w:rsidRPr="002D5564">
        <w:rPr>
          <w:b/>
          <w:bCs/>
          <w:sz w:val="28"/>
          <w:szCs w:val="28"/>
        </w:rPr>
        <w:t>DEPARTMENT OF ARTS, LANGUAGES AND LITERARY STUDIES</w:t>
      </w:r>
    </w:p>
    <w:p w14:paraId="65B73143" w14:textId="44AB6A62" w:rsidR="003A25F2" w:rsidRDefault="003A25F2" w:rsidP="000B5AAE">
      <w:pPr>
        <w:spacing w:line="360" w:lineRule="auto"/>
        <w:rPr>
          <w:b/>
          <w:bCs/>
          <w:sz w:val="28"/>
          <w:szCs w:val="28"/>
        </w:rPr>
      </w:pPr>
      <w:r>
        <w:rPr>
          <w:b/>
          <w:bCs/>
          <w:sz w:val="28"/>
          <w:szCs w:val="28"/>
        </w:rPr>
        <w:t xml:space="preserve">                                   </w:t>
      </w:r>
      <w:r w:rsidR="008C7D78">
        <w:rPr>
          <w:b/>
          <w:bCs/>
          <w:sz w:val="28"/>
          <w:szCs w:val="28"/>
        </w:rPr>
        <w:t xml:space="preserve"> </w:t>
      </w:r>
      <w:r w:rsidR="006817C3">
        <w:rPr>
          <w:b/>
          <w:bCs/>
          <w:sz w:val="28"/>
          <w:szCs w:val="28"/>
        </w:rPr>
        <w:t xml:space="preserve"> </w:t>
      </w:r>
      <w:r>
        <w:rPr>
          <w:b/>
          <w:bCs/>
          <w:sz w:val="28"/>
          <w:szCs w:val="28"/>
        </w:rPr>
        <w:t xml:space="preserve">  </w:t>
      </w:r>
      <w:r w:rsidR="002D5564">
        <w:rPr>
          <w:b/>
          <w:bCs/>
          <w:sz w:val="28"/>
          <w:szCs w:val="28"/>
        </w:rPr>
        <w:t>NAME</w:t>
      </w:r>
      <w:r>
        <w:rPr>
          <w:b/>
          <w:bCs/>
          <w:sz w:val="28"/>
          <w:szCs w:val="28"/>
        </w:rPr>
        <w:t xml:space="preserve">       </w:t>
      </w:r>
      <w:r w:rsidR="008C7D78">
        <w:rPr>
          <w:b/>
          <w:bCs/>
          <w:sz w:val="28"/>
          <w:szCs w:val="28"/>
        </w:rPr>
        <w:t xml:space="preserve">    </w:t>
      </w:r>
      <w:r w:rsidR="00BD5BD4">
        <w:rPr>
          <w:b/>
          <w:bCs/>
          <w:sz w:val="28"/>
          <w:szCs w:val="28"/>
        </w:rPr>
        <w:t xml:space="preserve">       </w:t>
      </w:r>
      <w:r w:rsidR="002D5564">
        <w:rPr>
          <w:b/>
          <w:bCs/>
          <w:sz w:val="28"/>
          <w:szCs w:val="28"/>
        </w:rPr>
        <w:t xml:space="preserve"> :</w:t>
      </w:r>
      <w:r>
        <w:rPr>
          <w:b/>
          <w:bCs/>
          <w:sz w:val="28"/>
          <w:szCs w:val="28"/>
        </w:rPr>
        <w:t xml:space="preserve">    </w:t>
      </w:r>
      <w:r w:rsidR="002D5564">
        <w:rPr>
          <w:b/>
          <w:bCs/>
          <w:sz w:val="28"/>
          <w:szCs w:val="28"/>
        </w:rPr>
        <w:t xml:space="preserve"> BANDA TRYSON BK.</w:t>
      </w:r>
    </w:p>
    <w:p w14:paraId="261CBB6E" w14:textId="0B45FF60" w:rsidR="002D5564" w:rsidRDefault="003A25F2" w:rsidP="000B5AAE">
      <w:pPr>
        <w:spacing w:line="360" w:lineRule="auto"/>
        <w:rPr>
          <w:b/>
          <w:bCs/>
          <w:sz w:val="28"/>
          <w:szCs w:val="28"/>
        </w:rPr>
      </w:pPr>
      <w:r>
        <w:rPr>
          <w:b/>
          <w:bCs/>
          <w:sz w:val="28"/>
          <w:szCs w:val="28"/>
        </w:rPr>
        <w:t xml:space="preserve">                            </w:t>
      </w:r>
      <w:r w:rsidR="008C7D78">
        <w:rPr>
          <w:b/>
          <w:bCs/>
          <w:sz w:val="28"/>
          <w:szCs w:val="28"/>
        </w:rPr>
        <w:t xml:space="preserve">      </w:t>
      </w:r>
      <w:r>
        <w:rPr>
          <w:b/>
          <w:bCs/>
          <w:sz w:val="28"/>
          <w:szCs w:val="28"/>
        </w:rPr>
        <w:t xml:space="preserve">  </w:t>
      </w:r>
      <w:r w:rsidR="008C7D78">
        <w:rPr>
          <w:b/>
          <w:bCs/>
          <w:sz w:val="28"/>
          <w:szCs w:val="28"/>
        </w:rPr>
        <w:t xml:space="preserve">  </w:t>
      </w:r>
      <w:r w:rsidR="002D5564">
        <w:rPr>
          <w:b/>
          <w:bCs/>
          <w:sz w:val="28"/>
          <w:szCs w:val="28"/>
        </w:rPr>
        <w:t>COMPUTER No.</w:t>
      </w:r>
      <w:r>
        <w:rPr>
          <w:b/>
          <w:bCs/>
          <w:sz w:val="28"/>
          <w:szCs w:val="28"/>
        </w:rPr>
        <w:t xml:space="preserve"> </w:t>
      </w:r>
      <w:r w:rsidR="002D5564">
        <w:rPr>
          <w:b/>
          <w:bCs/>
          <w:sz w:val="28"/>
          <w:szCs w:val="28"/>
        </w:rPr>
        <w:t xml:space="preserve"> :</w:t>
      </w:r>
      <w:r>
        <w:rPr>
          <w:b/>
          <w:bCs/>
          <w:sz w:val="28"/>
          <w:szCs w:val="28"/>
        </w:rPr>
        <w:t xml:space="preserve">   </w:t>
      </w:r>
      <w:r w:rsidR="00BD5BD4">
        <w:rPr>
          <w:b/>
          <w:bCs/>
          <w:sz w:val="28"/>
          <w:szCs w:val="28"/>
        </w:rPr>
        <w:t xml:space="preserve"> </w:t>
      </w:r>
      <w:r>
        <w:rPr>
          <w:b/>
          <w:bCs/>
          <w:sz w:val="28"/>
          <w:szCs w:val="28"/>
        </w:rPr>
        <w:t xml:space="preserve"> </w:t>
      </w:r>
      <w:r w:rsidR="002D5564">
        <w:rPr>
          <w:b/>
          <w:bCs/>
          <w:sz w:val="28"/>
          <w:szCs w:val="28"/>
        </w:rPr>
        <w:t>2022076958</w:t>
      </w:r>
    </w:p>
    <w:p w14:paraId="71B9DB92" w14:textId="1C81EA27" w:rsidR="002D5564" w:rsidRDefault="003A25F2" w:rsidP="000B5AAE">
      <w:pPr>
        <w:spacing w:line="360" w:lineRule="auto"/>
        <w:rPr>
          <w:b/>
          <w:bCs/>
          <w:sz w:val="28"/>
          <w:szCs w:val="28"/>
        </w:rPr>
      </w:pPr>
      <w:r>
        <w:rPr>
          <w:b/>
          <w:bCs/>
          <w:sz w:val="28"/>
          <w:szCs w:val="28"/>
        </w:rPr>
        <w:t xml:space="preserve">                              </w:t>
      </w:r>
      <w:r w:rsidR="008C7D78">
        <w:rPr>
          <w:b/>
          <w:bCs/>
          <w:sz w:val="28"/>
          <w:szCs w:val="28"/>
        </w:rPr>
        <w:t xml:space="preserve">       </w:t>
      </w:r>
      <w:r w:rsidR="002D5564">
        <w:rPr>
          <w:b/>
          <w:bCs/>
          <w:sz w:val="28"/>
          <w:szCs w:val="28"/>
        </w:rPr>
        <w:t xml:space="preserve">COURSE CODE </w:t>
      </w:r>
      <w:r>
        <w:rPr>
          <w:b/>
          <w:bCs/>
          <w:sz w:val="28"/>
          <w:szCs w:val="28"/>
        </w:rPr>
        <w:t xml:space="preserve">     </w:t>
      </w:r>
      <w:r w:rsidR="002D5564">
        <w:rPr>
          <w:b/>
          <w:bCs/>
          <w:sz w:val="28"/>
          <w:szCs w:val="28"/>
        </w:rPr>
        <w:t xml:space="preserve">: </w:t>
      </w:r>
      <w:r>
        <w:rPr>
          <w:b/>
          <w:bCs/>
          <w:sz w:val="28"/>
          <w:szCs w:val="28"/>
        </w:rPr>
        <w:t xml:space="preserve">    </w:t>
      </w:r>
      <w:r w:rsidR="002D5564">
        <w:rPr>
          <w:b/>
          <w:bCs/>
          <w:sz w:val="28"/>
          <w:szCs w:val="28"/>
        </w:rPr>
        <w:t>LIT 1100</w:t>
      </w:r>
    </w:p>
    <w:p w14:paraId="0AD7EB72" w14:textId="3F00942A" w:rsidR="002D5564" w:rsidRDefault="003A25F2" w:rsidP="000B5AAE">
      <w:pPr>
        <w:spacing w:line="360" w:lineRule="auto"/>
        <w:rPr>
          <w:b/>
          <w:bCs/>
          <w:sz w:val="28"/>
          <w:szCs w:val="28"/>
        </w:rPr>
      </w:pPr>
      <w:r>
        <w:rPr>
          <w:b/>
          <w:bCs/>
          <w:sz w:val="28"/>
          <w:szCs w:val="28"/>
        </w:rPr>
        <w:t xml:space="preserve">                            </w:t>
      </w:r>
      <w:r w:rsidR="008C7D78">
        <w:rPr>
          <w:b/>
          <w:bCs/>
          <w:sz w:val="28"/>
          <w:szCs w:val="28"/>
        </w:rPr>
        <w:t xml:space="preserve">      </w:t>
      </w:r>
      <w:r w:rsidR="003A24AB">
        <w:rPr>
          <w:b/>
          <w:bCs/>
          <w:sz w:val="28"/>
          <w:szCs w:val="28"/>
        </w:rPr>
        <w:t xml:space="preserve"> </w:t>
      </w:r>
      <w:r w:rsidR="008C7D78">
        <w:rPr>
          <w:b/>
          <w:bCs/>
          <w:sz w:val="28"/>
          <w:szCs w:val="28"/>
        </w:rPr>
        <w:t xml:space="preserve"> </w:t>
      </w:r>
      <w:r>
        <w:rPr>
          <w:b/>
          <w:bCs/>
          <w:sz w:val="28"/>
          <w:szCs w:val="28"/>
        </w:rPr>
        <w:t xml:space="preserve"> </w:t>
      </w:r>
      <w:r w:rsidR="002D5564">
        <w:rPr>
          <w:b/>
          <w:bCs/>
          <w:sz w:val="28"/>
          <w:szCs w:val="28"/>
        </w:rPr>
        <w:t>COURSE COORDINATOR</w:t>
      </w:r>
      <w:r>
        <w:rPr>
          <w:b/>
          <w:bCs/>
          <w:sz w:val="28"/>
          <w:szCs w:val="28"/>
        </w:rPr>
        <w:t xml:space="preserve"> </w:t>
      </w:r>
      <w:r w:rsidR="002D5564">
        <w:rPr>
          <w:b/>
          <w:bCs/>
          <w:sz w:val="28"/>
          <w:szCs w:val="28"/>
        </w:rPr>
        <w:t>: MRS B.M. MWALE</w:t>
      </w:r>
    </w:p>
    <w:p w14:paraId="1F69F902" w14:textId="2B2557DB" w:rsidR="002D5564" w:rsidRDefault="003A25F2" w:rsidP="000B5AAE">
      <w:pPr>
        <w:spacing w:line="360" w:lineRule="auto"/>
        <w:rPr>
          <w:b/>
          <w:bCs/>
          <w:sz w:val="28"/>
          <w:szCs w:val="28"/>
        </w:rPr>
      </w:pPr>
      <w:r>
        <w:rPr>
          <w:b/>
          <w:bCs/>
          <w:sz w:val="28"/>
          <w:szCs w:val="28"/>
        </w:rPr>
        <w:t xml:space="preserve">                              </w:t>
      </w:r>
      <w:r w:rsidR="008C7D78">
        <w:rPr>
          <w:b/>
          <w:bCs/>
          <w:sz w:val="28"/>
          <w:szCs w:val="28"/>
        </w:rPr>
        <w:t xml:space="preserve">    </w:t>
      </w:r>
      <w:r w:rsidR="003A24AB">
        <w:rPr>
          <w:b/>
          <w:bCs/>
          <w:sz w:val="28"/>
          <w:szCs w:val="28"/>
        </w:rPr>
        <w:t xml:space="preserve"> </w:t>
      </w:r>
      <w:r w:rsidR="008C7D78">
        <w:rPr>
          <w:b/>
          <w:bCs/>
          <w:sz w:val="28"/>
          <w:szCs w:val="28"/>
        </w:rPr>
        <w:t xml:space="preserve">  </w:t>
      </w:r>
      <w:r w:rsidR="002D5564">
        <w:rPr>
          <w:b/>
          <w:bCs/>
          <w:sz w:val="28"/>
          <w:szCs w:val="28"/>
        </w:rPr>
        <w:t>LECTURER</w:t>
      </w:r>
      <w:r>
        <w:rPr>
          <w:b/>
          <w:bCs/>
          <w:sz w:val="28"/>
          <w:szCs w:val="28"/>
        </w:rPr>
        <w:t xml:space="preserve">    </w:t>
      </w:r>
      <w:r w:rsidR="008C7D78">
        <w:rPr>
          <w:b/>
          <w:bCs/>
          <w:sz w:val="28"/>
          <w:szCs w:val="28"/>
        </w:rPr>
        <w:t xml:space="preserve"> </w:t>
      </w:r>
      <w:r>
        <w:rPr>
          <w:b/>
          <w:bCs/>
          <w:sz w:val="28"/>
          <w:szCs w:val="28"/>
        </w:rPr>
        <w:t xml:space="preserve">   </w:t>
      </w:r>
      <w:r w:rsidR="00BD5BD4">
        <w:rPr>
          <w:b/>
          <w:bCs/>
          <w:sz w:val="28"/>
          <w:szCs w:val="28"/>
        </w:rPr>
        <w:t xml:space="preserve">    </w:t>
      </w:r>
      <w:r w:rsidR="002D5564">
        <w:rPr>
          <w:b/>
          <w:bCs/>
          <w:sz w:val="28"/>
          <w:szCs w:val="28"/>
        </w:rPr>
        <w:t xml:space="preserve"> :</w:t>
      </w:r>
      <w:r w:rsidR="008C7D78">
        <w:rPr>
          <w:b/>
          <w:bCs/>
          <w:sz w:val="28"/>
          <w:szCs w:val="28"/>
        </w:rPr>
        <w:t xml:space="preserve"> </w:t>
      </w:r>
      <w:r w:rsidR="002D5564">
        <w:rPr>
          <w:b/>
          <w:bCs/>
          <w:sz w:val="28"/>
          <w:szCs w:val="28"/>
        </w:rPr>
        <w:t xml:space="preserve"> </w:t>
      </w:r>
      <w:r>
        <w:rPr>
          <w:b/>
          <w:bCs/>
          <w:sz w:val="28"/>
          <w:szCs w:val="28"/>
        </w:rPr>
        <w:t xml:space="preserve">    </w:t>
      </w:r>
      <w:r w:rsidR="002D5564">
        <w:rPr>
          <w:b/>
          <w:bCs/>
          <w:sz w:val="28"/>
          <w:szCs w:val="28"/>
        </w:rPr>
        <w:t>MRS B.M. MWALE</w:t>
      </w:r>
    </w:p>
    <w:p w14:paraId="4CBD4CB9" w14:textId="0FCC4951" w:rsidR="00BD5BD4" w:rsidRDefault="003A25F2" w:rsidP="000B5AAE">
      <w:pPr>
        <w:spacing w:line="360" w:lineRule="auto"/>
        <w:rPr>
          <w:b/>
          <w:bCs/>
          <w:sz w:val="28"/>
          <w:szCs w:val="28"/>
        </w:rPr>
      </w:pPr>
      <w:r>
        <w:rPr>
          <w:b/>
          <w:bCs/>
          <w:sz w:val="28"/>
          <w:szCs w:val="28"/>
        </w:rPr>
        <w:t xml:space="preserve">                            </w:t>
      </w:r>
      <w:r w:rsidR="008C7D78">
        <w:rPr>
          <w:b/>
          <w:bCs/>
          <w:sz w:val="28"/>
          <w:szCs w:val="28"/>
        </w:rPr>
        <w:t xml:space="preserve">       </w:t>
      </w:r>
      <w:r>
        <w:rPr>
          <w:b/>
          <w:bCs/>
          <w:sz w:val="28"/>
          <w:szCs w:val="28"/>
        </w:rPr>
        <w:t xml:space="preserve"> </w:t>
      </w:r>
      <w:r w:rsidR="003A24AB">
        <w:rPr>
          <w:b/>
          <w:bCs/>
          <w:sz w:val="28"/>
          <w:szCs w:val="28"/>
        </w:rPr>
        <w:t xml:space="preserve"> </w:t>
      </w:r>
      <w:r>
        <w:rPr>
          <w:b/>
          <w:bCs/>
          <w:sz w:val="28"/>
          <w:szCs w:val="28"/>
        </w:rPr>
        <w:t xml:space="preserve">QUESTION    </w:t>
      </w:r>
      <w:r w:rsidR="008C7D78">
        <w:rPr>
          <w:b/>
          <w:bCs/>
          <w:sz w:val="28"/>
          <w:szCs w:val="28"/>
        </w:rPr>
        <w:t xml:space="preserve">  </w:t>
      </w:r>
      <w:r w:rsidR="00BD5BD4">
        <w:rPr>
          <w:b/>
          <w:bCs/>
          <w:sz w:val="28"/>
          <w:szCs w:val="28"/>
        </w:rPr>
        <w:t xml:space="preserve">     </w:t>
      </w:r>
      <w:r>
        <w:rPr>
          <w:b/>
          <w:bCs/>
          <w:sz w:val="28"/>
          <w:szCs w:val="28"/>
        </w:rPr>
        <w:t xml:space="preserve">  :      ASSINGMENT TWO</w:t>
      </w:r>
    </w:p>
    <w:p w14:paraId="48AE104D" w14:textId="2AAB36E1" w:rsidR="00F7622A" w:rsidRDefault="00F875BA" w:rsidP="000B5AAE">
      <w:pPr>
        <w:spacing w:line="360" w:lineRule="auto"/>
        <w:rPr>
          <w:b/>
          <w:bCs/>
          <w:sz w:val="28"/>
          <w:szCs w:val="28"/>
        </w:rPr>
      </w:pPr>
      <w:r>
        <w:rPr>
          <w:b/>
          <w:bCs/>
          <w:sz w:val="28"/>
          <w:szCs w:val="28"/>
        </w:rPr>
        <w:t xml:space="preserve">                                      DUE DATE              :    25</w:t>
      </w:r>
      <w:r w:rsidRPr="00F875BA">
        <w:rPr>
          <w:b/>
          <w:bCs/>
          <w:sz w:val="28"/>
          <w:szCs w:val="28"/>
          <w:vertAlign w:val="superscript"/>
        </w:rPr>
        <w:t>TH</w:t>
      </w:r>
      <w:r>
        <w:rPr>
          <w:b/>
          <w:bCs/>
          <w:sz w:val="28"/>
          <w:szCs w:val="28"/>
        </w:rPr>
        <w:t xml:space="preserve"> OCTOBER, 2023</w:t>
      </w:r>
    </w:p>
    <w:p w14:paraId="473D035F" w14:textId="77777777" w:rsidR="005C5B49" w:rsidRDefault="005C5B49" w:rsidP="00F875BA">
      <w:pPr>
        <w:spacing w:line="480" w:lineRule="auto"/>
        <w:jc w:val="center"/>
        <w:rPr>
          <w:b/>
          <w:bCs/>
          <w:sz w:val="28"/>
          <w:szCs w:val="28"/>
        </w:rPr>
      </w:pPr>
    </w:p>
    <w:p w14:paraId="21AF6081" w14:textId="39E953B4" w:rsidR="00BD5BD4" w:rsidRPr="00BD5BD4" w:rsidRDefault="00BD5BD4" w:rsidP="00F875BA">
      <w:pPr>
        <w:spacing w:line="480" w:lineRule="auto"/>
        <w:jc w:val="center"/>
        <w:rPr>
          <w:b/>
          <w:bCs/>
          <w:sz w:val="28"/>
          <w:szCs w:val="28"/>
        </w:rPr>
      </w:pPr>
      <w:r w:rsidRPr="00BD5BD4">
        <w:rPr>
          <w:b/>
          <w:bCs/>
          <w:sz w:val="28"/>
          <w:szCs w:val="28"/>
        </w:rPr>
        <w:t>ASSIGNMENT QUESTION:</w:t>
      </w:r>
    </w:p>
    <w:p w14:paraId="52FB6AEE" w14:textId="05653281" w:rsidR="00E6079A" w:rsidRDefault="00BD5BD4" w:rsidP="00E6079A">
      <w:pPr>
        <w:spacing w:line="480" w:lineRule="auto"/>
        <w:jc w:val="center"/>
        <w:rPr>
          <w:sz w:val="28"/>
          <w:szCs w:val="28"/>
        </w:rPr>
      </w:pPr>
      <w:r w:rsidRPr="00BD5BD4">
        <w:rPr>
          <w:b/>
          <w:bCs/>
          <w:sz w:val="28"/>
          <w:szCs w:val="28"/>
        </w:rPr>
        <w:t xml:space="preserve"> </w:t>
      </w:r>
      <w:r w:rsidRPr="00F875BA">
        <w:rPr>
          <w:sz w:val="28"/>
          <w:szCs w:val="28"/>
        </w:rPr>
        <w:t>In what ways is literature important as a source of history. Refer to one novel or novella, one poem and one play studied in the course.</w:t>
      </w:r>
    </w:p>
    <w:p w14:paraId="164F38E6" w14:textId="5B33F4F1" w:rsidR="00BA00E9" w:rsidRDefault="00BA00E9" w:rsidP="00E6079A">
      <w:pPr>
        <w:spacing w:line="480" w:lineRule="auto"/>
        <w:jc w:val="center"/>
        <w:rPr>
          <w:sz w:val="28"/>
          <w:szCs w:val="28"/>
        </w:rPr>
      </w:pPr>
    </w:p>
    <w:p w14:paraId="04C03457" w14:textId="77777777" w:rsidR="000B5AAE" w:rsidRDefault="000B5AAE" w:rsidP="00472F7C">
      <w:pPr>
        <w:spacing w:line="480" w:lineRule="auto"/>
        <w:jc w:val="both"/>
        <w:rPr>
          <w:sz w:val="28"/>
          <w:szCs w:val="28"/>
        </w:rPr>
      </w:pPr>
    </w:p>
    <w:p w14:paraId="14F516E0" w14:textId="77777777" w:rsidR="00395268" w:rsidRDefault="00395268" w:rsidP="00472F7C">
      <w:pPr>
        <w:spacing w:line="480" w:lineRule="auto"/>
        <w:jc w:val="both"/>
        <w:rPr>
          <w:sz w:val="28"/>
          <w:szCs w:val="28"/>
        </w:rPr>
      </w:pPr>
    </w:p>
    <w:p w14:paraId="6046D2CE" w14:textId="17F45F34" w:rsidR="002A6236" w:rsidRPr="00E6079A" w:rsidRDefault="00165B05" w:rsidP="00472F7C">
      <w:pPr>
        <w:spacing w:line="480" w:lineRule="auto"/>
        <w:jc w:val="both"/>
        <w:rPr>
          <w:sz w:val="24"/>
          <w:szCs w:val="24"/>
        </w:rPr>
      </w:pPr>
      <w:r w:rsidRPr="00E6079A">
        <w:rPr>
          <w:sz w:val="24"/>
          <w:szCs w:val="24"/>
        </w:rPr>
        <w:lastRenderedPageBreak/>
        <w:t>Literature hold</w:t>
      </w:r>
      <w:r w:rsidR="00D9433D">
        <w:rPr>
          <w:sz w:val="24"/>
          <w:szCs w:val="24"/>
        </w:rPr>
        <w:t xml:space="preserve"> </w:t>
      </w:r>
      <w:r w:rsidRPr="00E6079A">
        <w:rPr>
          <w:sz w:val="24"/>
          <w:szCs w:val="24"/>
        </w:rPr>
        <w:t>significant value as a source of history due to its ability to provide vivid insights into different time periods, cultural contexts, and individual experiences. Through the lens of storytelling, novels, novellas, poems, and plays offer unique perspectives and capture the essence of past events, societal issues, and human emotions. Let me now provide examples of how a specific novel, a poem</w:t>
      </w:r>
      <w:r w:rsidR="0009756B" w:rsidRPr="00E6079A">
        <w:rPr>
          <w:sz w:val="24"/>
          <w:szCs w:val="24"/>
        </w:rPr>
        <w:t>, and a play studied in a course showcase the importance of literature as a source of history.</w:t>
      </w:r>
    </w:p>
    <w:p w14:paraId="470BDC06" w14:textId="15890CE0" w:rsidR="0009756B" w:rsidRPr="00E6079A" w:rsidRDefault="00656D00" w:rsidP="00472F7C">
      <w:pPr>
        <w:spacing w:line="480" w:lineRule="auto"/>
        <w:rPr>
          <w:sz w:val="24"/>
          <w:szCs w:val="24"/>
        </w:rPr>
      </w:pPr>
      <w:r>
        <w:rPr>
          <w:sz w:val="24"/>
          <w:szCs w:val="24"/>
        </w:rPr>
        <w:t xml:space="preserve">Starting with a </w:t>
      </w:r>
      <w:r w:rsidR="0009756B" w:rsidRPr="00E6079A">
        <w:rPr>
          <w:sz w:val="24"/>
          <w:szCs w:val="24"/>
        </w:rPr>
        <w:t>Novel or Novella</w:t>
      </w:r>
      <w:r w:rsidR="00543698">
        <w:rPr>
          <w:sz w:val="24"/>
          <w:szCs w:val="24"/>
        </w:rPr>
        <w:t>,</w:t>
      </w:r>
      <w:r w:rsidR="0009756B" w:rsidRPr="00E6079A">
        <w:rPr>
          <w:sz w:val="24"/>
          <w:szCs w:val="24"/>
        </w:rPr>
        <w:t xml:space="preserve"> “To Kill a Mockingbird” by Harper Lee. Set in the segregated America</w:t>
      </w:r>
      <w:r w:rsidR="00B30D73" w:rsidRPr="00E6079A">
        <w:rPr>
          <w:sz w:val="24"/>
          <w:szCs w:val="24"/>
        </w:rPr>
        <w:t>n South during the Great Depression, this classic novel explores themes of racial inequality, social injustice, and moral courage. Through the eyes of young Scout Finch</w:t>
      </w:r>
      <w:r w:rsidR="006763FA">
        <w:rPr>
          <w:sz w:val="24"/>
          <w:szCs w:val="24"/>
        </w:rPr>
        <w:t>, a young girl</w:t>
      </w:r>
      <w:r w:rsidR="00B30D73" w:rsidRPr="00E6079A">
        <w:rPr>
          <w:sz w:val="24"/>
          <w:szCs w:val="24"/>
        </w:rPr>
        <w:t>, the narrative unearths the harsh realities of racism and discrimination prev</w:t>
      </w:r>
      <w:r w:rsidR="002646F1" w:rsidRPr="00E6079A">
        <w:rPr>
          <w:sz w:val="24"/>
          <w:szCs w:val="24"/>
        </w:rPr>
        <w:t>alent in 1930s America. By delving into the experiences of the characters and portraying their interactions, the novel reveals the historical context and serves as a testament to the struggle</w:t>
      </w:r>
      <w:r w:rsidR="00F8627C" w:rsidRPr="00E6079A">
        <w:rPr>
          <w:sz w:val="24"/>
          <w:szCs w:val="24"/>
        </w:rPr>
        <w:t>s</w:t>
      </w:r>
      <w:r w:rsidR="002646F1" w:rsidRPr="00E6079A">
        <w:rPr>
          <w:sz w:val="24"/>
          <w:szCs w:val="24"/>
        </w:rPr>
        <w:t xml:space="preserve"> faced </w:t>
      </w:r>
      <w:r w:rsidR="00F8627C" w:rsidRPr="00E6079A">
        <w:rPr>
          <w:sz w:val="24"/>
          <w:szCs w:val="24"/>
        </w:rPr>
        <w:t>by African Americans and the fight for civil rights.</w:t>
      </w:r>
      <w:r w:rsidR="00D73339">
        <w:rPr>
          <w:sz w:val="24"/>
          <w:szCs w:val="24"/>
        </w:rPr>
        <w:t xml:space="preserve"> It also serves as an invaluable historical document, capturing the atmosphere of the era and the challenges faced by marginalized communities.</w:t>
      </w:r>
      <w:r w:rsidR="00F8627C" w:rsidRPr="00E6079A">
        <w:rPr>
          <w:sz w:val="24"/>
          <w:szCs w:val="24"/>
        </w:rPr>
        <w:t xml:space="preserve"> “To Kill a Mockingbird” thus offers a compelling insight into the history of racial prejudice in the United States.</w:t>
      </w:r>
    </w:p>
    <w:p w14:paraId="5F98AE1B" w14:textId="716AF036" w:rsidR="00F8627C" w:rsidRDefault="00F8627C" w:rsidP="00472F7C">
      <w:pPr>
        <w:spacing w:line="480" w:lineRule="auto"/>
        <w:rPr>
          <w:sz w:val="24"/>
          <w:szCs w:val="24"/>
        </w:rPr>
      </w:pPr>
      <w:r w:rsidRPr="00E6079A">
        <w:rPr>
          <w:sz w:val="24"/>
          <w:szCs w:val="24"/>
        </w:rPr>
        <w:t xml:space="preserve"> </w:t>
      </w:r>
      <w:r w:rsidR="00F946DC">
        <w:rPr>
          <w:sz w:val="24"/>
          <w:szCs w:val="24"/>
        </w:rPr>
        <w:t xml:space="preserve">Moving on to </w:t>
      </w:r>
      <w:r w:rsidR="0097789A">
        <w:rPr>
          <w:sz w:val="24"/>
          <w:szCs w:val="24"/>
        </w:rPr>
        <w:t>poem</w:t>
      </w:r>
      <w:r w:rsidR="00543698">
        <w:rPr>
          <w:sz w:val="24"/>
          <w:szCs w:val="24"/>
        </w:rPr>
        <w:t>,</w:t>
      </w:r>
      <w:r w:rsidR="00BC0400" w:rsidRPr="00E6079A">
        <w:rPr>
          <w:sz w:val="24"/>
          <w:szCs w:val="24"/>
        </w:rPr>
        <w:t xml:space="preserve"> “The Waste Land” by T.S. Published in 1922, this modernist poem reflects </w:t>
      </w:r>
      <w:r w:rsidR="00222D2F" w:rsidRPr="00E6079A">
        <w:rPr>
          <w:sz w:val="24"/>
          <w:szCs w:val="24"/>
        </w:rPr>
        <w:t>the disillusionment and despair felt by many after the devastation of World War 1. Drawing upon various mythological, historical, and cultural references, Eliot captures the fragmented nature of post-war society. By juxtaposing different voices, imagery, and allusions, the poem reflects the fragmented state of society highlights the loss of traditional values, social cohe</w:t>
      </w:r>
      <w:r w:rsidR="00B24381" w:rsidRPr="00E6079A">
        <w:rPr>
          <w:sz w:val="24"/>
          <w:szCs w:val="24"/>
        </w:rPr>
        <w:t xml:space="preserve">sion, and spiritual beliefs during that era. “The Waste Land” acts as a historical document by </w:t>
      </w:r>
      <w:r w:rsidR="00B24381" w:rsidRPr="00E6079A">
        <w:rPr>
          <w:sz w:val="24"/>
          <w:szCs w:val="24"/>
        </w:rPr>
        <w:lastRenderedPageBreak/>
        <w:t>providing an artistic representation of the post-war disillusionment prevalent in the Europe during the early 2</w:t>
      </w:r>
      <w:r w:rsidR="00543698">
        <w:rPr>
          <w:sz w:val="24"/>
          <w:szCs w:val="24"/>
        </w:rPr>
        <w:t>0</w:t>
      </w:r>
      <w:r w:rsidR="00B24381" w:rsidRPr="00E6079A">
        <w:rPr>
          <w:sz w:val="24"/>
          <w:szCs w:val="24"/>
          <w:vertAlign w:val="superscript"/>
        </w:rPr>
        <w:t>th</w:t>
      </w:r>
      <w:r w:rsidR="00B24381" w:rsidRPr="00E6079A">
        <w:rPr>
          <w:sz w:val="24"/>
          <w:szCs w:val="24"/>
        </w:rPr>
        <w:t xml:space="preserve"> century.</w:t>
      </w:r>
      <w:r w:rsidR="00950C69">
        <w:rPr>
          <w:sz w:val="24"/>
          <w:szCs w:val="24"/>
        </w:rPr>
        <w:t xml:space="preserve"> “The Waste Land” serves also as a rich source of historical context, illustrating the cultural, social, and psychological impact of one of the most significant periods in modern history.</w:t>
      </w:r>
    </w:p>
    <w:p w14:paraId="622FADA2" w14:textId="77777777" w:rsidR="00351B94" w:rsidRPr="00E6079A" w:rsidRDefault="00351B94" w:rsidP="00472F7C">
      <w:pPr>
        <w:spacing w:line="480" w:lineRule="auto"/>
        <w:rPr>
          <w:sz w:val="24"/>
          <w:szCs w:val="24"/>
        </w:rPr>
      </w:pPr>
    </w:p>
    <w:p w14:paraId="5B457DD2" w14:textId="68FF3C53" w:rsidR="00A10BAB" w:rsidRPr="00E6079A" w:rsidRDefault="00D93890" w:rsidP="00472F7C">
      <w:pPr>
        <w:spacing w:line="480" w:lineRule="auto"/>
        <w:rPr>
          <w:sz w:val="24"/>
          <w:szCs w:val="24"/>
        </w:rPr>
      </w:pPr>
      <w:r w:rsidRPr="00E6079A">
        <w:rPr>
          <w:sz w:val="24"/>
          <w:szCs w:val="24"/>
        </w:rPr>
        <w:t xml:space="preserve"> </w:t>
      </w:r>
      <w:r w:rsidR="00543698">
        <w:rPr>
          <w:sz w:val="24"/>
          <w:szCs w:val="24"/>
        </w:rPr>
        <w:t xml:space="preserve">Lastly, when it comes to plays, </w:t>
      </w:r>
      <w:r w:rsidRPr="00E6079A">
        <w:rPr>
          <w:sz w:val="24"/>
          <w:szCs w:val="24"/>
        </w:rPr>
        <w:t>“Macbeth” by William Shakespeare. Set in 11</w:t>
      </w:r>
      <w:r w:rsidRPr="00E6079A">
        <w:rPr>
          <w:sz w:val="24"/>
          <w:szCs w:val="24"/>
          <w:vertAlign w:val="superscript"/>
        </w:rPr>
        <w:t>th</w:t>
      </w:r>
      <w:r w:rsidRPr="00E6079A">
        <w:rPr>
          <w:sz w:val="24"/>
          <w:szCs w:val="24"/>
        </w:rPr>
        <w:t xml:space="preserve"> century Scotland, this </w:t>
      </w:r>
      <w:r w:rsidR="00844EC7" w:rsidRPr="00E6079A">
        <w:rPr>
          <w:sz w:val="24"/>
          <w:szCs w:val="24"/>
        </w:rPr>
        <w:t>tragic play explores themes of ambition, power, and the consequences of unchecked desire. It reflects the political instability, power struggles, and moral dilemmas of the medieval era. Through the downfall of Macbeth and the actions of other characters, Shakespeare</w:t>
      </w:r>
      <w:r w:rsidR="00507019" w:rsidRPr="00E6079A">
        <w:rPr>
          <w:sz w:val="24"/>
          <w:szCs w:val="24"/>
        </w:rPr>
        <w:t xml:space="preserve"> offers of commentary on the nature of kingship, the ethics of governance, and the destructive potential of unrestrained ambition. “Macbeth” serves as an important source of historical insight, shedding light on the political climate, societal norms, and power dynamics that prevailed during </w:t>
      </w:r>
      <w:r w:rsidR="00A10BAB" w:rsidRPr="00E6079A">
        <w:rPr>
          <w:sz w:val="24"/>
          <w:szCs w:val="24"/>
        </w:rPr>
        <w:t>Shakespeare`s time.</w:t>
      </w:r>
    </w:p>
    <w:p w14:paraId="49E77EDF" w14:textId="2847BC4D" w:rsidR="00A10BAB" w:rsidRPr="00E6079A" w:rsidRDefault="00A8556D" w:rsidP="00C6088E">
      <w:pPr>
        <w:spacing w:line="360" w:lineRule="auto"/>
        <w:rPr>
          <w:sz w:val="24"/>
          <w:szCs w:val="24"/>
        </w:rPr>
      </w:pPr>
      <w:r>
        <w:rPr>
          <w:sz w:val="24"/>
          <w:szCs w:val="24"/>
        </w:rPr>
        <w:t>In conclusion, t</w:t>
      </w:r>
      <w:r w:rsidR="00A10BAB" w:rsidRPr="00E6079A">
        <w:rPr>
          <w:sz w:val="24"/>
          <w:szCs w:val="24"/>
        </w:rPr>
        <w:t xml:space="preserve">hese works of literature exemplify how novels, poems, and plays can provide valuable historical contexts, offering readers and scholars a glimpse into the past. They capture the experiences, emotions, and societal dynamics of specific time periods, enriching our understanding of history beyond mere facts and </w:t>
      </w:r>
      <w:r w:rsidR="0086068E" w:rsidRPr="00E6079A">
        <w:rPr>
          <w:sz w:val="24"/>
          <w:szCs w:val="24"/>
        </w:rPr>
        <w:t>f</w:t>
      </w:r>
      <w:r w:rsidR="00A10BAB" w:rsidRPr="00E6079A">
        <w:rPr>
          <w:sz w:val="24"/>
          <w:szCs w:val="24"/>
        </w:rPr>
        <w:t>igures. Through literature</w:t>
      </w:r>
      <w:r w:rsidR="0086068E" w:rsidRPr="00E6079A">
        <w:rPr>
          <w:sz w:val="24"/>
          <w:szCs w:val="24"/>
        </w:rPr>
        <w:t>, we gain a deeper appreciation of the multifaceted aspects of human</w:t>
      </w:r>
      <w:r w:rsidR="00A10BAB" w:rsidRPr="00E6079A">
        <w:rPr>
          <w:sz w:val="24"/>
          <w:szCs w:val="24"/>
        </w:rPr>
        <w:t xml:space="preserve"> </w:t>
      </w:r>
      <w:r w:rsidR="0086068E" w:rsidRPr="00E6079A">
        <w:rPr>
          <w:sz w:val="24"/>
          <w:szCs w:val="24"/>
        </w:rPr>
        <w:t>existence and the profound impact that historical events have on individuals and societies.</w:t>
      </w:r>
      <w:r w:rsidR="00C530CB">
        <w:rPr>
          <w:sz w:val="24"/>
          <w:szCs w:val="24"/>
        </w:rPr>
        <w:t xml:space="preserve"> Through novels like “To Kill a Mockingbird,” poems like “The Waste Land,” and plays like “Macbeth and The Crucible,” we can explore</w:t>
      </w:r>
      <w:r w:rsidR="00395268">
        <w:rPr>
          <w:sz w:val="24"/>
          <w:szCs w:val="24"/>
        </w:rPr>
        <w:t xml:space="preserve"> </w:t>
      </w:r>
      <w:r w:rsidR="00C530CB">
        <w:rPr>
          <w:sz w:val="24"/>
          <w:szCs w:val="24"/>
        </w:rPr>
        <w:t>different periods, experiences, and perspectives, en</w:t>
      </w:r>
      <w:r w:rsidR="00573935">
        <w:rPr>
          <w:sz w:val="24"/>
          <w:szCs w:val="24"/>
        </w:rPr>
        <w:t>suring that history remains alive and relevant.</w:t>
      </w:r>
    </w:p>
    <w:p w14:paraId="57D9B3EB" w14:textId="77777777" w:rsidR="00C6088E" w:rsidRDefault="00C6088E" w:rsidP="00395268">
      <w:pPr>
        <w:spacing w:line="360" w:lineRule="auto"/>
        <w:jc w:val="center"/>
        <w:rPr>
          <w:b/>
          <w:bCs/>
          <w:sz w:val="28"/>
          <w:szCs w:val="28"/>
        </w:rPr>
      </w:pPr>
    </w:p>
    <w:p w14:paraId="76B80EF7" w14:textId="22C76E28" w:rsidR="00BF6E42" w:rsidRPr="00395268" w:rsidRDefault="00BF6E42" w:rsidP="00395268">
      <w:pPr>
        <w:spacing w:line="360" w:lineRule="auto"/>
        <w:jc w:val="center"/>
        <w:rPr>
          <w:sz w:val="28"/>
          <w:szCs w:val="28"/>
        </w:rPr>
      </w:pPr>
      <w:r w:rsidRPr="00395268">
        <w:rPr>
          <w:b/>
          <w:bCs/>
          <w:sz w:val="28"/>
          <w:szCs w:val="28"/>
        </w:rPr>
        <w:lastRenderedPageBreak/>
        <w:t>REFERENCES</w:t>
      </w:r>
    </w:p>
    <w:p w14:paraId="383627CC" w14:textId="3CAFC0A6" w:rsidR="00121681" w:rsidRDefault="004E498D" w:rsidP="00507484">
      <w:pPr>
        <w:spacing w:line="360" w:lineRule="auto"/>
      </w:pPr>
      <w:r>
        <w:t>Bell-Villada, G.H. (2012). Fictionalizing History</w:t>
      </w:r>
      <w:r w:rsidRPr="001F7D51">
        <w:rPr>
          <w:i/>
          <w:iCs/>
          <w:u w:val="single"/>
        </w:rPr>
        <w:t>: One Hundred Years of Solitude</w:t>
      </w:r>
      <w:r>
        <w:t xml:space="preserve"> as Latin American </w:t>
      </w:r>
      <w:r w:rsidR="002A677E">
        <w:t>Historiographical Metafiction. In The Cambridge History of Latin American Literature (Vol. 2,pp.937-940). Cambridge University</w:t>
      </w:r>
      <w:r w:rsidR="00D91F9D">
        <w:t>.</w:t>
      </w:r>
    </w:p>
    <w:p w14:paraId="3D7E76D9" w14:textId="656C2163" w:rsidR="00D91F9D" w:rsidRDefault="00D91F9D" w:rsidP="00507484">
      <w:pPr>
        <w:spacing w:line="360" w:lineRule="auto"/>
      </w:pPr>
      <w:r>
        <w:t xml:space="preserve">Bigsby, C.W. (2015). </w:t>
      </w:r>
      <w:r w:rsidRPr="001F7D51">
        <w:rPr>
          <w:i/>
          <w:iCs/>
        </w:rPr>
        <w:t>The Crucible Modern American Drama</w:t>
      </w:r>
      <w:r>
        <w:t>, 1945-200 (Vol. 2, pp.462-470). Cambridge University Press.</w:t>
      </w:r>
    </w:p>
    <w:p w14:paraId="0D08C1E6" w14:textId="501194B1" w:rsidR="00BF6E42" w:rsidRDefault="003776E1" w:rsidP="00507484">
      <w:pPr>
        <w:spacing w:line="360" w:lineRule="auto"/>
      </w:pPr>
      <w:r>
        <w:t xml:space="preserve">Bradstock, A. (2015). Kingship, Lordship, &amp; Honor </w:t>
      </w:r>
      <w:r w:rsidRPr="001F7D51">
        <w:t>in</w:t>
      </w:r>
      <w:r w:rsidRPr="001F7D51">
        <w:rPr>
          <w:i/>
          <w:iCs/>
        </w:rPr>
        <w:t xml:space="preserve"> Macbeth</w:t>
      </w:r>
      <w:r w:rsidRPr="001F7D51">
        <w:t>.</w:t>
      </w:r>
      <w:r>
        <w:t xml:space="preserve"> In The Oxford University Handbook of Shakespearean Tragedy (pp.70-87). Oxford University Press.</w:t>
      </w:r>
    </w:p>
    <w:p w14:paraId="2AF8226D" w14:textId="5A1441F9" w:rsidR="0089687C" w:rsidRDefault="002153BB" w:rsidP="00507484">
      <w:pPr>
        <w:spacing w:line="360" w:lineRule="auto"/>
      </w:pPr>
      <w:r>
        <w:t xml:space="preserve">Goddard, H.C. (1951). Theme </w:t>
      </w:r>
      <w:r w:rsidRPr="001F103D">
        <w:t xml:space="preserve">of </w:t>
      </w:r>
      <w:r w:rsidRPr="001F7D51">
        <w:rPr>
          <w:i/>
          <w:iCs/>
        </w:rPr>
        <w:t>Hamlet.</w:t>
      </w:r>
      <w:r w:rsidRPr="001F103D">
        <w:t xml:space="preserve"> The Kenyon Review, 13(3) 474-4</w:t>
      </w:r>
      <w:r w:rsidR="00507484" w:rsidRPr="001F103D">
        <w:t>87</w:t>
      </w:r>
      <w:r w:rsidRPr="001F103D">
        <w:t xml:space="preserve">. </w:t>
      </w:r>
      <w:r w:rsidR="00507484" w:rsidRPr="001F103D">
        <w:t xml:space="preserve"> Available at:</w:t>
      </w:r>
      <w:r w:rsidR="00507484">
        <w:rPr>
          <w:u w:val="single"/>
        </w:rPr>
        <w:t xml:space="preserve"> http://doi.org/10.2307/4332782</w:t>
      </w:r>
    </w:p>
    <w:p w14:paraId="2840827B" w14:textId="0F723216" w:rsidR="0089687C" w:rsidRDefault="00A07324" w:rsidP="00507484">
      <w:pPr>
        <w:spacing w:line="360" w:lineRule="auto"/>
      </w:pPr>
      <w:r>
        <w:t xml:space="preserve">Kirk, L. (2013). The politics of Childhood in </w:t>
      </w:r>
      <w:r w:rsidR="00A34FA0" w:rsidRPr="001F7D51">
        <w:rPr>
          <w:i/>
          <w:iCs/>
        </w:rPr>
        <w:t>To Kill a Mockingbird.</w:t>
      </w:r>
      <w:r w:rsidR="00313948">
        <w:t xml:space="preserve"> In The Cambridge Companion to American</w:t>
      </w:r>
      <w:r w:rsidR="00A34FA0" w:rsidRPr="00472F7C">
        <w:t xml:space="preserve"> </w:t>
      </w:r>
      <w:r w:rsidR="00313948">
        <w:t>Civil Rights Literature (pp.129-132)</w:t>
      </w:r>
      <w:r w:rsidR="0089687C">
        <w:t>. Cambridge University Press.</w:t>
      </w:r>
    </w:p>
    <w:p w14:paraId="5500E6A2" w14:textId="38186BBA" w:rsidR="00A34FA0" w:rsidRPr="00472F7C" w:rsidRDefault="0089687C" w:rsidP="00507484">
      <w:pPr>
        <w:spacing w:line="360" w:lineRule="auto"/>
      </w:pPr>
      <w:r>
        <w:t>Lee, Harper,</w:t>
      </w:r>
      <w:r w:rsidR="00770ABF">
        <w:t xml:space="preserve"> (2006)</w:t>
      </w:r>
      <w:r>
        <w:t xml:space="preserve"> </w:t>
      </w:r>
      <w:r w:rsidR="00A34FA0" w:rsidRPr="00472F7C">
        <w:t>Harper Perennial Modern Classic</w:t>
      </w:r>
      <w:r w:rsidR="00A93D06">
        <w:t>. University of California Press</w:t>
      </w:r>
    </w:p>
    <w:p w14:paraId="3D8DEB78" w14:textId="3ECE5D10" w:rsidR="00043F6C" w:rsidRPr="00472F7C" w:rsidRDefault="002A677E" w:rsidP="00507484">
      <w:pPr>
        <w:spacing w:line="360" w:lineRule="auto"/>
      </w:pPr>
      <w:r>
        <w:t>Moody, A.</w:t>
      </w:r>
      <w:r w:rsidR="00727B24">
        <w:t>D. (2013). T.S.</w:t>
      </w:r>
      <w:r w:rsidR="00727B24" w:rsidRPr="00727B24">
        <w:t xml:space="preserve"> </w:t>
      </w:r>
      <w:r w:rsidR="00727B24" w:rsidRPr="001F7D51">
        <w:t>Eliot’s</w:t>
      </w:r>
      <w:r w:rsidR="00727B24" w:rsidRPr="001F7D51">
        <w:rPr>
          <w:i/>
          <w:iCs/>
        </w:rPr>
        <w:t xml:space="preserve"> Historical Consciousness and The Waste Land.</w:t>
      </w:r>
      <w:r w:rsidR="00727B24">
        <w:t xml:space="preserve"> The Review of English studies, 64(200), 668-671. Southern Illinois University Press.</w:t>
      </w:r>
    </w:p>
    <w:p w14:paraId="0ABC96CB" w14:textId="5E7FBB30" w:rsidR="00BF6E42" w:rsidRDefault="00BF6E42" w:rsidP="00507484">
      <w:pPr>
        <w:spacing w:line="360" w:lineRule="auto"/>
      </w:pPr>
      <w:r w:rsidRPr="00472F7C">
        <w:t xml:space="preserve">Orwell, George. </w:t>
      </w:r>
      <w:r w:rsidR="0039199E">
        <w:t>(</w:t>
      </w:r>
      <w:r w:rsidRPr="00472F7C">
        <w:t>1984</w:t>
      </w:r>
      <w:r w:rsidR="0039199E">
        <w:t>)</w:t>
      </w:r>
      <w:r w:rsidRPr="00472F7C">
        <w:t xml:space="preserve">. </w:t>
      </w:r>
      <w:r w:rsidRPr="00770ABF">
        <w:rPr>
          <w:i/>
          <w:iCs/>
        </w:rPr>
        <w:t>Harcourt Brace Jovanovich</w:t>
      </w:r>
      <w:r w:rsidR="00770ABF">
        <w:rPr>
          <w:i/>
          <w:iCs/>
        </w:rPr>
        <w:t>.</w:t>
      </w:r>
      <w:r w:rsidR="00FD29FA">
        <w:rPr>
          <w:i/>
          <w:iCs/>
        </w:rPr>
        <w:t xml:space="preserve"> Oxford University Press.</w:t>
      </w:r>
    </w:p>
    <w:p w14:paraId="7E8EA4B3" w14:textId="3C42933A" w:rsidR="0039199E" w:rsidRPr="00472F7C" w:rsidRDefault="0039199E" w:rsidP="00507484">
      <w:pPr>
        <w:spacing w:line="360" w:lineRule="auto"/>
      </w:pPr>
      <w:r>
        <w:t xml:space="preserve">Kestnbaum, C.W. (2015). Historicism and Arthur </w:t>
      </w:r>
      <w:r w:rsidRPr="001F7D51">
        <w:t>Miller’s</w:t>
      </w:r>
      <w:r w:rsidRPr="001F7D51">
        <w:rPr>
          <w:i/>
          <w:iCs/>
        </w:rPr>
        <w:t xml:space="preserve"> The Crucible.</w:t>
      </w:r>
      <w:r>
        <w:t xml:space="preserve"> Journal of American Drama and Theatre, 18(2), 1-20. Available at: http://doi.org/10.1353/jadt.2005.0077</w:t>
      </w:r>
    </w:p>
    <w:p w14:paraId="5A418C7F" w14:textId="1A9196A0" w:rsidR="00072A39" w:rsidRDefault="00856489" w:rsidP="00507484">
      <w:pPr>
        <w:spacing w:line="360" w:lineRule="auto"/>
      </w:pPr>
      <w:r>
        <w:t xml:space="preserve">Kilgore, D.R. (2014). The Use of History in </w:t>
      </w:r>
      <w:r w:rsidR="006F3A8A" w:rsidRPr="00472F7C">
        <w:t xml:space="preserve">Ton </w:t>
      </w:r>
      <w:r>
        <w:t>Morrison’s</w:t>
      </w:r>
      <w:r w:rsidR="006F3A8A" w:rsidRPr="00472F7C">
        <w:t xml:space="preserve"> </w:t>
      </w:r>
      <w:r w:rsidR="006F3A8A" w:rsidRPr="001F7D51">
        <w:rPr>
          <w:i/>
          <w:iCs/>
        </w:rPr>
        <w:t>Beloved.</w:t>
      </w:r>
      <w:r w:rsidR="006F3A8A" w:rsidRPr="00472F7C">
        <w:t xml:space="preserve"> In critical insights: Beloved (pp.25-3</w:t>
      </w:r>
      <w:r>
        <w:t>8</w:t>
      </w:r>
      <w:r w:rsidR="006F3A8A" w:rsidRPr="00472F7C">
        <w:t>). Salem Press.</w:t>
      </w:r>
    </w:p>
    <w:p w14:paraId="7FE0A3C2" w14:textId="7683F830" w:rsidR="004654EA" w:rsidRDefault="00072A39" w:rsidP="00D91F9D">
      <w:pPr>
        <w:spacing w:line="360" w:lineRule="auto"/>
      </w:pPr>
      <w:r>
        <w:t>Rosenberg, J.D. (2017)</w:t>
      </w:r>
      <w:r w:rsidR="004654EA">
        <w:t xml:space="preserve"> </w:t>
      </w:r>
      <w:r w:rsidR="004654EA" w:rsidRPr="001F7D51">
        <w:rPr>
          <w:i/>
          <w:iCs/>
        </w:rPr>
        <w:t>The Great Gatsby,</w:t>
      </w:r>
      <w:r w:rsidRPr="001F7D51">
        <w:rPr>
          <w:i/>
          <w:iCs/>
        </w:rPr>
        <w:t xml:space="preserve"> Money, and Morality</w:t>
      </w:r>
      <w:r>
        <w:rPr>
          <w:u w:val="single"/>
        </w:rPr>
        <w:t>.</w:t>
      </w:r>
      <w:r w:rsidR="004654EA">
        <w:t xml:space="preserve"> </w:t>
      </w:r>
      <w:r>
        <w:t>I</w:t>
      </w:r>
      <w:r w:rsidR="004654EA">
        <w:t xml:space="preserve">n the Cambridge </w:t>
      </w:r>
      <w:r w:rsidR="000F5ED0">
        <w:t>Companion to Scott F.</w:t>
      </w:r>
      <w:r>
        <w:t xml:space="preserve"> Fitzgerald</w:t>
      </w:r>
      <w:r w:rsidR="000F5ED0">
        <w:t>. (PP.77-80). Cambridge University Press</w:t>
      </w:r>
      <w:r w:rsidR="000638A5">
        <w:t>.</w:t>
      </w:r>
    </w:p>
    <w:sectPr w:rsidR="00465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05"/>
    <w:rsid w:val="00043F6C"/>
    <w:rsid w:val="000638A5"/>
    <w:rsid w:val="00072A39"/>
    <w:rsid w:val="0009756B"/>
    <w:rsid w:val="000B5AAE"/>
    <w:rsid w:val="000F5ED0"/>
    <w:rsid w:val="00121681"/>
    <w:rsid w:val="00165B05"/>
    <w:rsid w:val="001F103D"/>
    <w:rsid w:val="001F7D51"/>
    <w:rsid w:val="002153BB"/>
    <w:rsid w:val="00222D2F"/>
    <w:rsid w:val="00230F60"/>
    <w:rsid w:val="002646F1"/>
    <w:rsid w:val="002A6236"/>
    <w:rsid w:val="002A677E"/>
    <w:rsid w:val="002D2A75"/>
    <w:rsid w:val="002D5564"/>
    <w:rsid w:val="002E0132"/>
    <w:rsid w:val="00313948"/>
    <w:rsid w:val="00346509"/>
    <w:rsid w:val="00351B94"/>
    <w:rsid w:val="003776E1"/>
    <w:rsid w:val="00386F12"/>
    <w:rsid w:val="0039199E"/>
    <w:rsid w:val="00395268"/>
    <w:rsid w:val="003A24AB"/>
    <w:rsid w:val="003A25F2"/>
    <w:rsid w:val="003E6700"/>
    <w:rsid w:val="00450857"/>
    <w:rsid w:val="004654EA"/>
    <w:rsid w:val="00472F7C"/>
    <w:rsid w:val="00486D97"/>
    <w:rsid w:val="004E498D"/>
    <w:rsid w:val="00507019"/>
    <w:rsid w:val="00507484"/>
    <w:rsid w:val="00543698"/>
    <w:rsid w:val="0057169B"/>
    <w:rsid w:val="00573935"/>
    <w:rsid w:val="005C5B49"/>
    <w:rsid w:val="00656D00"/>
    <w:rsid w:val="006763FA"/>
    <w:rsid w:val="006817C3"/>
    <w:rsid w:val="006F3A8A"/>
    <w:rsid w:val="00727B24"/>
    <w:rsid w:val="00770ABF"/>
    <w:rsid w:val="007F403E"/>
    <w:rsid w:val="00844EC7"/>
    <w:rsid w:val="00856489"/>
    <w:rsid w:val="0086068E"/>
    <w:rsid w:val="0089687C"/>
    <w:rsid w:val="008C7D78"/>
    <w:rsid w:val="00950C69"/>
    <w:rsid w:val="0097789A"/>
    <w:rsid w:val="009E7033"/>
    <w:rsid w:val="00A07324"/>
    <w:rsid w:val="00A10BAB"/>
    <w:rsid w:val="00A34FA0"/>
    <w:rsid w:val="00A8556D"/>
    <w:rsid w:val="00A93D06"/>
    <w:rsid w:val="00B24381"/>
    <w:rsid w:val="00B30D73"/>
    <w:rsid w:val="00B36ADE"/>
    <w:rsid w:val="00BA00E9"/>
    <w:rsid w:val="00BC0400"/>
    <w:rsid w:val="00BD5BD4"/>
    <w:rsid w:val="00BF6E42"/>
    <w:rsid w:val="00C530CB"/>
    <w:rsid w:val="00C6088E"/>
    <w:rsid w:val="00D240C2"/>
    <w:rsid w:val="00D73339"/>
    <w:rsid w:val="00D91F9D"/>
    <w:rsid w:val="00D93890"/>
    <w:rsid w:val="00D9433D"/>
    <w:rsid w:val="00DC07D5"/>
    <w:rsid w:val="00E6079A"/>
    <w:rsid w:val="00EB1CE9"/>
    <w:rsid w:val="00F7622A"/>
    <w:rsid w:val="00F8627C"/>
    <w:rsid w:val="00F875BA"/>
    <w:rsid w:val="00F946DC"/>
    <w:rsid w:val="00FD29FA"/>
    <w:rsid w:val="00FE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DE24"/>
  <w15:chartTrackingRefBased/>
  <w15:docId w15:val="{4DCA43B8-13A5-44B8-8EFB-E9D7BA77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4</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56</cp:revision>
  <dcterms:created xsi:type="dcterms:W3CDTF">2023-10-23T16:05:00Z</dcterms:created>
  <dcterms:modified xsi:type="dcterms:W3CDTF">2023-10-25T12:43:00Z</dcterms:modified>
</cp:coreProperties>
</file>