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pacing w:after="0" w:lineRule="auto" w:line="240"/>
        <w:rPr/>
      </w:pPr>
    </w:p>
    <w:p>
      <w:pPr>
        <w:pStyle w:val="style0"/>
        <w:spacing w:after="0" w:lineRule="auto" w:line="360"/>
        <w:rPr>
          <w:rFonts w:ascii="Arial" w:cs="Arial" w:eastAsia="Arial" w:hAnsi="Arial"/>
          <w:color w:val="252525"/>
          <w:sz w:val="61"/>
        </w:rPr>
      </w:pPr>
      <w:r>
        <w:rPr>
          <w:rFonts w:ascii="Arial" w:cs="Arial" w:eastAsia="Arial" w:hAnsi="Arial"/>
          <w:color w:val="252525"/>
          <w:sz w:val="61"/>
        </w:rPr>
        <w:t xml:space="preserve">     </w:t>
      </w:r>
      <w:r>
        <w:rPr>
          <w:rFonts w:ascii="Arial" w:cs="Arial" w:eastAsia="Arial" w:hAnsi="Arial"/>
          <w:color w:val="252525"/>
          <w:sz w:val="61"/>
        </w:rPr>
        <w:t xml:space="preserve">  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color w:val="252525"/>
          <w:sz w:val="61"/>
        </w:rPr>
      </w:pPr>
      <w:r>
        <w:rPr>
          <w:rFonts w:ascii="Arial" w:cs="Arial" w:eastAsia="Arial" w:hAnsi="Arial"/>
          <w:color w:val="252525"/>
          <w:sz w:val="61"/>
        </w:rPr>
        <w:t xml:space="preserve">      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THE UNIVERSITY OF ZAMBIA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SCHOOL OF HUMANITIES AND SOCIAL STUDIES</w:t>
      </w:r>
    </w:p>
    <w:p>
      <w:pPr>
        <w:pStyle w:val="style0"/>
        <w:spacing w:after="0" w:lineRule="auto" w:line="360"/>
        <w:ind w:left="720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DEPARTMENT OF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HISTORICAL AND ARCHAELOGICAL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STUDIES</w:t>
      </w:r>
    </w:p>
    <w:p>
      <w:pPr>
        <w:pStyle w:val="style0"/>
        <w:spacing w:after="0" w:lineRule="auto" w:line="360"/>
        <w:rPr>
          <w:rFonts w:ascii="Arial" w:cs="Arial" w:hAnsi="Arial"/>
          <w:b/>
          <w:sz w:val="61"/>
        </w:rPr>
      </w:pPr>
    </w:p>
    <w:p>
      <w:pPr>
        <w:pStyle w:val="style179"/>
        <w:numPr>
          <w:ilvl w:val="0"/>
          <w:numId w:val="0"/>
        </w:numPr>
        <w:spacing w:after="0" w:lineRule="auto" w:line="360"/>
        <w:ind w:left="2160" w:firstLine="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NAME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  <w:r>
        <w:rPr>
          <w:rFonts w:cs="Arial" w:eastAsia="Arial" w:hAnsi="Arial"/>
          <w:b/>
          <w:color w:val="252525"/>
          <w:sz w:val="32"/>
          <w:szCs w:val="32"/>
          <w:lang w:val="en-US"/>
        </w:rPr>
        <w:t xml:space="preserve">: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>BANDA TRYSON. BK.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STUDENT NO.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</w:t>
      </w:r>
      <w:r>
        <w:rPr>
          <w:rFonts w:ascii="Arial" w:cs="Arial" w:eastAsia="Arial" w:hAnsi="Arial"/>
          <w:b/>
          <w:color w:val="252525"/>
          <w:sz w:val="32"/>
          <w:szCs w:val="32"/>
        </w:rPr>
        <w:t>2022076958</w:t>
      </w:r>
      <w:r>
        <w:rPr>
          <w:rFonts w:ascii="Arial" w:cs="Arial" w:eastAsia="Arial" w:hAnsi="Arial"/>
          <w:b/>
          <w:color w:val="252525"/>
          <w:sz w:val="32"/>
          <w:szCs w:val="32"/>
        </w:rPr>
        <w:tab/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COURSE </w:t>
      </w:r>
      <w:r>
        <w:rPr>
          <w:rFonts w:ascii="Arial" w:cs="Arial" w:eastAsia="Arial" w:hAnsi="Arial"/>
          <w:b/>
          <w:color w:val="252525"/>
          <w:sz w:val="32"/>
          <w:szCs w:val="32"/>
        </w:rPr>
        <w:t>CODE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</w:t>
      </w:r>
      <w:r>
        <w:rPr>
          <w:rFonts w:ascii="Arial" w:cs="Arial" w:eastAsia="Arial" w:hAnsi="Arial"/>
          <w:b/>
          <w:color w:val="252525"/>
          <w:sz w:val="32"/>
          <w:szCs w:val="32"/>
        </w:rPr>
        <w:t>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HIS</w:t>
      </w:r>
      <w:r>
        <w:rPr>
          <w:rFonts w:ascii="Arial" w:cs="Arial" w:eastAsia="Arial" w:hAnsi="Arial"/>
          <w:b/>
          <w:color w:val="252525"/>
          <w:sz w:val="32"/>
          <w:szCs w:val="32"/>
        </w:rPr>
        <w:t>11</w:t>
      </w:r>
      <w:r>
        <w:rPr>
          <w:rFonts w:cs="Arial" w:eastAsia="Arial" w:hAnsi="Arial"/>
          <w:b/>
          <w:color w:val="252525"/>
          <w:sz w:val="32"/>
          <w:szCs w:val="32"/>
          <w:lang w:val="en-US"/>
        </w:rPr>
        <w:t>1</w:t>
      </w:r>
      <w:r>
        <w:rPr>
          <w:rFonts w:ascii="Arial" w:cs="Arial" w:eastAsia="Arial" w:hAnsi="Arial"/>
          <w:b/>
          <w:color w:val="252525"/>
          <w:sz w:val="32"/>
          <w:szCs w:val="32"/>
        </w:rPr>
        <w:t>0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COURSE COODINATOR</w:t>
      </w:r>
      <w:r>
        <w:rPr>
          <w:rFonts w:ascii="Arial" w:cs="Arial" w:eastAsia="Arial" w:hAnsi="Arial"/>
          <w:b/>
          <w:color w:val="252525"/>
          <w:sz w:val="32"/>
          <w:szCs w:val="32"/>
        </w:rPr>
        <w:t>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color w:val="252525"/>
          <w:sz w:val="32"/>
          <w:szCs w:val="32"/>
        </w:rPr>
        <w:t>DR. EK. CHIPUTA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>ASSIGNEMENT ONE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b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DUE DATE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: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0</w:t>
      </w:r>
      <w:r>
        <w:rPr>
          <w:rFonts w:cs="Arial" w:eastAsia="Arial" w:hAnsi="Arial"/>
          <w:b/>
          <w:color w:val="252525"/>
          <w:sz w:val="32"/>
          <w:szCs w:val="32"/>
          <w:lang w:val="en-US"/>
        </w:rPr>
        <w:t xml:space="preserve">6 JUNE, </w:t>
      </w:r>
      <w:r>
        <w:rPr>
          <w:rFonts w:ascii="Arial" w:cs="Arial" w:eastAsia="Arial" w:hAnsi="Arial"/>
          <w:b/>
          <w:color w:val="252525"/>
          <w:sz w:val="32"/>
          <w:szCs w:val="32"/>
        </w:rPr>
        <w:t>2023</w:t>
      </w:r>
    </w:p>
    <w:p>
      <w:pPr>
        <w:pStyle w:val="style0"/>
        <w:spacing w:after="0" w:lineRule="auto" w:line="360"/>
        <w:ind w:left="720"/>
        <w:jc w:val="both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    </w:t>
      </w:r>
      <w:r>
        <w:rPr>
          <w:rFonts w:ascii="Arial" w:cs="Arial" w:eastAsia="Arial" w:hAnsi="Arial"/>
          <w:b/>
          <w:color w:val="252525"/>
          <w:sz w:val="32"/>
          <w:szCs w:val="32"/>
        </w:rPr>
        <w:t xml:space="preserve"> QUESTION ONE 1</w:t>
      </w:r>
    </w:p>
    <w:p>
      <w:pPr>
        <w:pStyle w:val="style0"/>
        <w:spacing w:after="0" w:lineRule="auto" w:line="360"/>
        <w:ind w:left="720"/>
        <w:rPr>
          <w:rFonts w:ascii="Arial" w:cs="Arial" w:eastAsia="Arial" w:hAnsi="Arial"/>
          <w:b/>
          <w:color w:val="252525"/>
          <w:sz w:val="32"/>
          <w:szCs w:val="32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Illustrate one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endnote and one bibliography for each of the following source of data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1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.A journal article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2. A newspaper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3. A book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            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4. An edited book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5. An oral interview and an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6. Internet source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1. A Journal Article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Murray, J. (2019). The World of Books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. Book Publishing Journal 57(3), 12-22.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Bibliography: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Murray, J. (2019). The World of Books.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Book Publishing Journal, 57(3), 12-22.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2. A Newspaper: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Smith, M. (2021, June 20).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Technology to boost farming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. New York Times, p. A4.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Smith, M. (2021, June 20). Technology to boost farming.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New York Times, p. A4.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3. A Book: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Austen, J. (1813). Pride and Prejudice.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Wordsworth Editions.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Austen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, J. (1813). Pride and Prejudice.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Wordsworth Editions.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4. An Edited Book: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1. Jensen, K., &amp;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Norderhaug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, A. (Eds.). (2007). Reading Media Theory: Thinkers,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Approaches and Contexts. Routledge.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Jensen, K., &amp;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Norderh</w:t>
      </w:r>
      <w:bookmarkStart w:id="0" w:name="_GoBack"/>
      <w:bookmarkEnd w:id="0"/>
      <w:r>
        <w:rPr>
          <w:rFonts w:ascii="Times New Roman" w:cs="Times New Roman" w:eastAsia="Arial" w:hAnsi="Times New Roman"/>
          <w:color w:val="252525"/>
          <w:sz w:val="24"/>
          <w:szCs w:val="24"/>
        </w:rPr>
        <w:t>aug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, A. (Eds.). (2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007). Reading Media Theory: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Thinkers, Approaches and Contexts. Routledge.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5. An Oral Interview: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Endnote: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Robinson, K. (2021, July 1). Personal communication.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Bibliography: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Robinson, K. (2021, July 1). Personal communication.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6. An Internet Source: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eastAsia="Arial" w:hAnsi="Times New Roman"/>
          <w:color w:val="252525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eastAsia="Arial" w:hAnsi="Times New Roman"/>
          <w:color w:val="252525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Endnote: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1. Johnson, M. (2021, September 15). The Importance of Emotional Intelligence in the Workplace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 Forbes.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Retrieved 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from https://www.forbes.com/sites/moiraalexander/2021/09/15/the-importance-of-emotional-intelligence-in-the-workplace/?s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h=7e5836c267ed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>Bibliography: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Johnson, M. (2021, September 15). The Importance of Emotional Intelligence in the Workplace.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 xml:space="preserve">post]. </w:t>
      </w:r>
      <w:r>
        <w:rPr>
          <w:rFonts w:ascii="Times New Roman" w:cs="Times New Roman" w:eastAsia="Arial" w:hAnsi="Times New Roman"/>
          <w:color w:val="252525"/>
          <w:sz w:val="24"/>
          <w:szCs w:val="24"/>
        </w:rPr>
        <w:t>Forbes. Retrieved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 xml:space="preserve"> from https://www.forbes.com/sites/moiraalexander/2021/09/15/the-importance-of-e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otional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-intelligence-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i</w:t>
      </w:r>
      <w:r>
        <w:rPr>
          <w:rFonts w:ascii="Times New Roman" w:cs="Times New Roman" w:eastAsia="Arial" w:hAnsi="Times New Roman"/>
          <w:i/>
          <w:color w:val="252525"/>
          <w:sz w:val="24"/>
          <w:szCs w:val="24"/>
        </w:rPr>
        <w:t>n-the-workplace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0" w:h="16840" w:orient="portrait"/>
      <w:pgMar w:top="0" w:right="375" w:bottom="270" w:left="375" w:header="720" w:footer="720" w:gutter="0"/>
      <w:pgBorders w:zOrder="front"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2F42F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270</Words>
  <Pages>3</Pages>
  <Characters>1722</Characters>
  <Application>WPS Office</Application>
  <DocSecurity>0</DocSecurity>
  <Paragraphs>77</Paragraphs>
  <ScaleCrop>false</ScaleCrop>
  <LinksUpToDate>false</LinksUpToDate>
  <CharactersWithSpaces>2080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2023-06-06T07:27:59Z</dcterms:created>
  <dc:creator>Apache POI</dc:creator>
  <lastModifiedBy>TECNO CK6</lastModifiedBy>
  <dcterms:modified xsi:type="dcterms:W3CDTF">2023-06-06T07:31:49Z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e2c5771ddf0f47cd9f5e8784ad6dcbb8</vt:lpwstr>
  </property>
</Properties>
</file>