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EBE4" w14:textId="77777777" w:rsidR="00224749" w:rsidRDefault="00224749" w:rsidP="00BB198E">
      <w:pPr>
        <w:spacing w:line="360" w:lineRule="auto"/>
        <w:jc w:val="both"/>
        <w:rPr>
          <w:rFonts w:ascii="Times New Roman" w:hAnsi="Times New Roman" w:cs="Times New Roman"/>
          <w:sz w:val="24"/>
          <w:szCs w:val="24"/>
        </w:rPr>
      </w:pPr>
    </w:p>
    <w:p w14:paraId="137C88CF" w14:textId="2C70F49D" w:rsidR="00224749" w:rsidRPr="00691FD9" w:rsidRDefault="00224749" w:rsidP="00691FD9">
      <w:pPr>
        <w:spacing w:line="360" w:lineRule="auto"/>
        <w:jc w:val="center"/>
        <w:rPr>
          <w:rFonts w:ascii="Times New Roman" w:hAnsi="Times New Roman" w:cs="Times New Roman"/>
          <w:b/>
          <w:bCs/>
          <w:sz w:val="32"/>
          <w:szCs w:val="32"/>
        </w:rPr>
      </w:pPr>
      <w:r w:rsidRPr="00691FD9">
        <w:rPr>
          <w:rFonts w:ascii="Times New Roman" w:hAnsi="Times New Roman" w:cs="Times New Roman"/>
          <w:b/>
          <w:bCs/>
          <w:sz w:val="32"/>
          <w:szCs w:val="32"/>
        </w:rPr>
        <w:t>THE UNIVERSITY OF ZAMBIA</w:t>
      </w:r>
    </w:p>
    <w:p w14:paraId="573BFDD9" w14:textId="15258AA2" w:rsidR="00224749" w:rsidRPr="00691FD9" w:rsidRDefault="00224749" w:rsidP="00691FD9">
      <w:pPr>
        <w:spacing w:line="360" w:lineRule="auto"/>
        <w:jc w:val="center"/>
        <w:rPr>
          <w:rFonts w:ascii="Times New Roman" w:hAnsi="Times New Roman" w:cs="Times New Roman"/>
          <w:b/>
          <w:bCs/>
          <w:sz w:val="32"/>
          <w:szCs w:val="32"/>
        </w:rPr>
      </w:pPr>
      <w:r w:rsidRPr="00691FD9">
        <w:rPr>
          <w:rFonts w:ascii="Times New Roman" w:hAnsi="Times New Roman" w:cs="Times New Roman"/>
          <w:b/>
          <w:bCs/>
          <w:sz w:val="32"/>
          <w:szCs w:val="32"/>
        </w:rPr>
        <w:t>SCHOOL OF HUMANITIES AND SOCIAL SCIENCES</w:t>
      </w:r>
    </w:p>
    <w:p w14:paraId="41A5EA97" w14:textId="5D19DF2D" w:rsidR="00224749" w:rsidRPr="00691FD9" w:rsidRDefault="00224749" w:rsidP="00691FD9">
      <w:pPr>
        <w:spacing w:line="360" w:lineRule="auto"/>
        <w:jc w:val="center"/>
        <w:rPr>
          <w:rFonts w:ascii="Times New Roman" w:hAnsi="Times New Roman" w:cs="Times New Roman"/>
          <w:b/>
          <w:bCs/>
          <w:sz w:val="32"/>
          <w:szCs w:val="32"/>
        </w:rPr>
      </w:pPr>
      <w:r w:rsidRPr="00691FD9">
        <w:rPr>
          <w:rFonts w:ascii="Times New Roman" w:hAnsi="Times New Roman" w:cs="Times New Roman"/>
          <w:b/>
          <w:bCs/>
          <w:sz w:val="32"/>
          <w:szCs w:val="32"/>
        </w:rPr>
        <w:t xml:space="preserve">DEPARTMENT OF </w:t>
      </w:r>
      <w:r w:rsidR="00447D18">
        <w:rPr>
          <w:rFonts w:ascii="Times New Roman" w:hAnsi="Times New Roman" w:cs="Times New Roman"/>
          <w:b/>
          <w:bCs/>
          <w:sz w:val="32"/>
          <w:szCs w:val="32"/>
        </w:rPr>
        <w:t xml:space="preserve">[HISTORY] </w:t>
      </w:r>
      <w:r w:rsidRPr="00691FD9">
        <w:rPr>
          <w:rFonts w:ascii="Times New Roman" w:hAnsi="Times New Roman" w:cs="Times New Roman"/>
          <w:b/>
          <w:bCs/>
          <w:sz w:val="32"/>
          <w:szCs w:val="32"/>
        </w:rPr>
        <w:t>HISTORICAL AND ARCHAEOLOGICAL STUDIES</w:t>
      </w:r>
    </w:p>
    <w:p w14:paraId="73FD910B" w14:textId="77777777" w:rsidR="00224749" w:rsidRDefault="00224749" w:rsidP="00BB198E">
      <w:pPr>
        <w:spacing w:line="360" w:lineRule="auto"/>
        <w:jc w:val="both"/>
        <w:rPr>
          <w:rFonts w:ascii="Times New Roman" w:hAnsi="Times New Roman" w:cs="Times New Roman"/>
          <w:sz w:val="24"/>
          <w:szCs w:val="24"/>
        </w:rPr>
      </w:pPr>
    </w:p>
    <w:p w14:paraId="6D1C5FF6" w14:textId="7ACE1417" w:rsidR="00224749" w:rsidRPr="00310591" w:rsidRDefault="00691FD9" w:rsidP="00BB198E">
      <w:pPr>
        <w:spacing w:line="360" w:lineRule="auto"/>
        <w:jc w:val="both"/>
        <w:rPr>
          <w:rFonts w:ascii="Times New Roman" w:hAnsi="Times New Roman" w:cs="Times New Roman"/>
          <w:b/>
          <w:bCs/>
          <w:sz w:val="28"/>
          <w:szCs w:val="28"/>
        </w:rPr>
      </w:pPr>
      <w:r w:rsidRPr="00310591">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NAME</w:t>
      </w:r>
      <w:r w:rsidR="00A37B6E">
        <w:rPr>
          <w:rFonts w:ascii="Times New Roman" w:hAnsi="Times New Roman" w:cs="Times New Roman"/>
          <w:b/>
          <w:bCs/>
          <w:sz w:val="28"/>
          <w:szCs w:val="28"/>
        </w:rPr>
        <w:t xml:space="preserve">                 </w:t>
      </w:r>
      <w:proofErr w:type="gramStart"/>
      <w:r w:rsidR="00A37B6E">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 xml:space="preserve"> :</w:t>
      </w:r>
      <w:proofErr w:type="gramEnd"/>
      <w:r w:rsidR="00A37B6E">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 xml:space="preserve"> BANDA TRYSON BK</w:t>
      </w:r>
    </w:p>
    <w:p w14:paraId="41C5FFAA" w14:textId="107BDCB0" w:rsidR="00224749" w:rsidRPr="00310591" w:rsidRDefault="00691FD9" w:rsidP="00BB198E">
      <w:pPr>
        <w:spacing w:line="360" w:lineRule="auto"/>
        <w:jc w:val="both"/>
        <w:rPr>
          <w:rFonts w:ascii="Times New Roman" w:hAnsi="Times New Roman" w:cs="Times New Roman"/>
          <w:b/>
          <w:bCs/>
          <w:sz w:val="28"/>
          <w:szCs w:val="28"/>
        </w:rPr>
      </w:pPr>
      <w:r w:rsidRPr="00310591">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 xml:space="preserve">COMPUTER </w:t>
      </w:r>
      <w:proofErr w:type="gramStart"/>
      <w:r w:rsidR="00224749" w:rsidRPr="00310591">
        <w:rPr>
          <w:rFonts w:ascii="Times New Roman" w:hAnsi="Times New Roman" w:cs="Times New Roman"/>
          <w:b/>
          <w:bCs/>
          <w:sz w:val="28"/>
          <w:szCs w:val="28"/>
        </w:rPr>
        <w:t>NO. :</w:t>
      </w:r>
      <w:proofErr w:type="gramEnd"/>
      <w:r w:rsidR="00224749" w:rsidRPr="00310591">
        <w:rPr>
          <w:rFonts w:ascii="Times New Roman" w:hAnsi="Times New Roman" w:cs="Times New Roman"/>
          <w:b/>
          <w:bCs/>
          <w:sz w:val="28"/>
          <w:szCs w:val="28"/>
        </w:rPr>
        <w:t xml:space="preserve"> </w:t>
      </w:r>
      <w:r w:rsidR="00A37B6E">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2022076958</w:t>
      </w:r>
    </w:p>
    <w:p w14:paraId="3B9B776F" w14:textId="229D881F" w:rsidR="00224749" w:rsidRPr="00310591" w:rsidRDefault="00691FD9" w:rsidP="00BB198E">
      <w:pPr>
        <w:spacing w:line="360" w:lineRule="auto"/>
        <w:jc w:val="both"/>
        <w:rPr>
          <w:rFonts w:ascii="Times New Roman" w:hAnsi="Times New Roman" w:cs="Times New Roman"/>
          <w:b/>
          <w:bCs/>
          <w:sz w:val="28"/>
          <w:szCs w:val="28"/>
        </w:rPr>
      </w:pPr>
      <w:r w:rsidRPr="00310591">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LECTURER</w:t>
      </w:r>
      <w:r w:rsidR="00A37B6E">
        <w:rPr>
          <w:rFonts w:ascii="Times New Roman" w:hAnsi="Times New Roman" w:cs="Times New Roman"/>
          <w:b/>
          <w:bCs/>
          <w:sz w:val="28"/>
          <w:szCs w:val="28"/>
        </w:rPr>
        <w:t xml:space="preserve">        </w:t>
      </w:r>
      <w:proofErr w:type="gramStart"/>
      <w:r w:rsidR="00A37B6E">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 xml:space="preserve"> :</w:t>
      </w:r>
      <w:proofErr w:type="gramEnd"/>
      <w:r w:rsidR="00A37B6E">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 xml:space="preserve"> </w:t>
      </w:r>
      <w:r w:rsidR="00044768" w:rsidRPr="00310591">
        <w:rPr>
          <w:rFonts w:ascii="Times New Roman" w:hAnsi="Times New Roman" w:cs="Times New Roman"/>
          <w:b/>
          <w:bCs/>
          <w:sz w:val="28"/>
          <w:szCs w:val="28"/>
        </w:rPr>
        <w:t>D</w:t>
      </w:r>
      <w:r w:rsidR="00074ED4" w:rsidRPr="00310591">
        <w:rPr>
          <w:rFonts w:ascii="Times New Roman" w:hAnsi="Times New Roman" w:cs="Times New Roman"/>
          <w:b/>
          <w:bCs/>
          <w:sz w:val="28"/>
          <w:szCs w:val="28"/>
        </w:rPr>
        <w:t>r</w:t>
      </w:r>
      <w:r w:rsidR="00447D18" w:rsidRPr="00310591">
        <w:rPr>
          <w:rFonts w:ascii="Times New Roman" w:hAnsi="Times New Roman" w:cs="Times New Roman"/>
          <w:b/>
          <w:bCs/>
          <w:sz w:val="28"/>
          <w:szCs w:val="28"/>
        </w:rPr>
        <w:t>.</w:t>
      </w:r>
      <w:r w:rsidR="00074ED4" w:rsidRPr="00310591">
        <w:rPr>
          <w:rFonts w:ascii="Times New Roman" w:hAnsi="Times New Roman" w:cs="Times New Roman"/>
          <w:b/>
          <w:bCs/>
          <w:sz w:val="28"/>
          <w:szCs w:val="28"/>
        </w:rPr>
        <w:t xml:space="preserve"> D.</w:t>
      </w:r>
      <w:r w:rsidR="00044768" w:rsidRPr="00310591">
        <w:rPr>
          <w:rFonts w:ascii="Times New Roman" w:hAnsi="Times New Roman" w:cs="Times New Roman"/>
          <w:b/>
          <w:bCs/>
          <w:sz w:val="28"/>
          <w:szCs w:val="28"/>
        </w:rPr>
        <w:t>K. MWANSA</w:t>
      </w:r>
    </w:p>
    <w:p w14:paraId="497EC3F2" w14:textId="0A48B6E8" w:rsidR="00224749" w:rsidRPr="00310591" w:rsidRDefault="00691FD9" w:rsidP="00BB198E">
      <w:pPr>
        <w:spacing w:line="360" w:lineRule="auto"/>
        <w:jc w:val="both"/>
        <w:rPr>
          <w:rFonts w:ascii="Times New Roman" w:hAnsi="Times New Roman" w:cs="Times New Roman"/>
          <w:b/>
          <w:bCs/>
          <w:sz w:val="28"/>
          <w:szCs w:val="28"/>
        </w:rPr>
      </w:pPr>
      <w:r w:rsidRPr="00310591">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COURSE CODE</w:t>
      </w:r>
      <w:r w:rsidR="00A37B6E">
        <w:rPr>
          <w:rFonts w:ascii="Times New Roman" w:hAnsi="Times New Roman" w:cs="Times New Roman"/>
          <w:b/>
          <w:bCs/>
          <w:sz w:val="28"/>
          <w:szCs w:val="28"/>
        </w:rPr>
        <w:t xml:space="preserve">  </w:t>
      </w:r>
      <w:proofErr w:type="gramStart"/>
      <w:r w:rsidR="00A37B6E">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 xml:space="preserve"> :</w:t>
      </w:r>
      <w:proofErr w:type="gramEnd"/>
      <w:r w:rsidR="00A37B6E">
        <w:rPr>
          <w:rFonts w:ascii="Times New Roman" w:hAnsi="Times New Roman" w:cs="Times New Roman"/>
          <w:b/>
          <w:bCs/>
          <w:sz w:val="28"/>
          <w:szCs w:val="28"/>
        </w:rPr>
        <w:t xml:space="preserve"> </w:t>
      </w:r>
      <w:r w:rsidR="00387578" w:rsidRPr="00310591">
        <w:rPr>
          <w:rFonts w:ascii="Times New Roman" w:hAnsi="Times New Roman" w:cs="Times New Roman"/>
          <w:b/>
          <w:bCs/>
          <w:sz w:val="28"/>
          <w:szCs w:val="28"/>
        </w:rPr>
        <w:t xml:space="preserve"> HIS 2410</w:t>
      </w:r>
    </w:p>
    <w:p w14:paraId="32FFADB7" w14:textId="163BAC2B" w:rsidR="00224749" w:rsidRPr="00310591" w:rsidRDefault="00691FD9" w:rsidP="00BB198E">
      <w:pPr>
        <w:spacing w:line="360" w:lineRule="auto"/>
        <w:jc w:val="both"/>
        <w:rPr>
          <w:rFonts w:ascii="Times New Roman" w:hAnsi="Times New Roman" w:cs="Times New Roman"/>
          <w:b/>
          <w:bCs/>
          <w:sz w:val="28"/>
          <w:szCs w:val="28"/>
        </w:rPr>
      </w:pPr>
      <w:r w:rsidRPr="00310591">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ASSIGNMENT</w:t>
      </w:r>
      <w:r w:rsidR="00A37B6E">
        <w:rPr>
          <w:rFonts w:ascii="Times New Roman" w:hAnsi="Times New Roman" w:cs="Times New Roman"/>
          <w:b/>
          <w:bCs/>
          <w:sz w:val="28"/>
          <w:szCs w:val="28"/>
        </w:rPr>
        <w:t xml:space="preserve">    </w:t>
      </w:r>
      <w:proofErr w:type="gramStart"/>
      <w:r w:rsidR="00A37B6E">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 xml:space="preserve"> :</w:t>
      </w:r>
      <w:proofErr w:type="gramEnd"/>
      <w:r w:rsidR="00224749" w:rsidRPr="00310591">
        <w:rPr>
          <w:rFonts w:ascii="Times New Roman" w:hAnsi="Times New Roman" w:cs="Times New Roman"/>
          <w:b/>
          <w:bCs/>
          <w:sz w:val="28"/>
          <w:szCs w:val="28"/>
        </w:rPr>
        <w:t xml:space="preserve"> </w:t>
      </w:r>
      <w:r w:rsidR="00271D75" w:rsidRPr="00310591">
        <w:rPr>
          <w:rFonts w:ascii="Times New Roman" w:hAnsi="Times New Roman" w:cs="Times New Roman"/>
          <w:b/>
          <w:bCs/>
          <w:sz w:val="28"/>
          <w:szCs w:val="28"/>
        </w:rPr>
        <w:t xml:space="preserve"> ONE [1]</w:t>
      </w:r>
    </w:p>
    <w:p w14:paraId="50B95F70" w14:textId="328A75F7" w:rsidR="00224749" w:rsidRPr="00310591" w:rsidRDefault="00691FD9" w:rsidP="00BB198E">
      <w:pPr>
        <w:spacing w:line="360" w:lineRule="auto"/>
        <w:jc w:val="both"/>
        <w:rPr>
          <w:rFonts w:ascii="Times New Roman" w:hAnsi="Times New Roman" w:cs="Times New Roman"/>
          <w:b/>
          <w:bCs/>
          <w:sz w:val="28"/>
          <w:szCs w:val="28"/>
        </w:rPr>
      </w:pPr>
      <w:r w:rsidRPr="00310591">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 xml:space="preserve">DUE DATE </w:t>
      </w:r>
      <w:r w:rsidR="00A37B6E">
        <w:rPr>
          <w:rFonts w:ascii="Times New Roman" w:hAnsi="Times New Roman" w:cs="Times New Roman"/>
          <w:b/>
          <w:bCs/>
          <w:sz w:val="28"/>
          <w:szCs w:val="28"/>
        </w:rPr>
        <w:t xml:space="preserve">          </w:t>
      </w:r>
      <w:proofErr w:type="gramStart"/>
      <w:r w:rsidR="00A37B6E">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w:t>
      </w:r>
      <w:proofErr w:type="gramEnd"/>
      <w:r w:rsidR="00224749" w:rsidRPr="00310591">
        <w:rPr>
          <w:rFonts w:ascii="Times New Roman" w:hAnsi="Times New Roman" w:cs="Times New Roman"/>
          <w:b/>
          <w:bCs/>
          <w:sz w:val="28"/>
          <w:szCs w:val="28"/>
        </w:rPr>
        <w:t xml:space="preserve"> </w:t>
      </w:r>
      <w:r w:rsidR="00271D75" w:rsidRPr="00310591">
        <w:rPr>
          <w:rFonts w:ascii="Times New Roman" w:hAnsi="Times New Roman" w:cs="Times New Roman"/>
          <w:b/>
          <w:bCs/>
          <w:sz w:val="28"/>
          <w:szCs w:val="28"/>
        </w:rPr>
        <w:t xml:space="preserve"> 08</w:t>
      </w:r>
      <w:r w:rsidR="00271D75" w:rsidRPr="00310591">
        <w:rPr>
          <w:rFonts w:ascii="Times New Roman" w:hAnsi="Times New Roman" w:cs="Times New Roman"/>
          <w:b/>
          <w:bCs/>
          <w:sz w:val="28"/>
          <w:szCs w:val="28"/>
          <w:vertAlign w:val="superscript"/>
        </w:rPr>
        <w:t>th</w:t>
      </w:r>
      <w:r w:rsidR="00271D75" w:rsidRPr="00310591">
        <w:rPr>
          <w:rFonts w:ascii="Times New Roman" w:hAnsi="Times New Roman" w:cs="Times New Roman"/>
          <w:b/>
          <w:bCs/>
          <w:sz w:val="28"/>
          <w:szCs w:val="28"/>
        </w:rPr>
        <w:t xml:space="preserve"> APRIL, 2024</w:t>
      </w:r>
    </w:p>
    <w:p w14:paraId="74A8F5A3" w14:textId="36684060" w:rsidR="00224749" w:rsidRPr="00310591" w:rsidRDefault="00691FD9" w:rsidP="00BB198E">
      <w:pPr>
        <w:spacing w:line="360" w:lineRule="auto"/>
        <w:jc w:val="both"/>
        <w:rPr>
          <w:rFonts w:ascii="Times New Roman" w:hAnsi="Times New Roman" w:cs="Times New Roman"/>
          <w:b/>
          <w:bCs/>
          <w:sz w:val="24"/>
          <w:szCs w:val="24"/>
        </w:rPr>
      </w:pPr>
      <w:r w:rsidRPr="00310591">
        <w:rPr>
          <w:rFonts w:ascii="Times New Roman" w:hAnsi="Times New Roman" w:cs="Times New Roman"/>
          <w:b/>
          <w:bCs/>
          <w:sz w:val="28"/>
          <w:szCs w:val="28"/>
        </w:rPr>
        <w:t xml:space="preserve">                            </w:t>
      </w:r>
      <w:r w:rsidR="00224749" w:rsidRPr="00310591">
        <w:rPr>
          <w:rFonts w:ascii="Times New Roman" w:hAnsi="Times New Roman" w:cs="Times New Roman"/>
          <w:b/>
          <w:bCs/>
          <w:sz w:val="28"/>
          <w:szCs w:val="28"/>
        </w:rPr>
        <w:t>QUESTION</w:t>
      </w:r>
      <w:r w:rsidR="00224749" w:rsidRPr="00310591">
        <w:rPr>
          <w:rFonts w:ascii="Times New Roman" w:hAnsi="Times New Roman" w:cs="Times New Roman"/>
          <w:b/>
          <w:bCs/>
          <w:sz w:val="24"/>
          <w:szCs w:val="24"/>
        </w:rPr>
        <w:t xml:space="preserve"> </w:t>
      </w:r>
      <w:r w:rsidR="00A37B6E">
        <w:rPr>
          <w:rFonts w:ascii="Times New Roman" w:hAnsi="Times New Roman" w:cs="Times New Roman"/>
          <w:b/>
          <w:bCs/>
          <w:sz w:val="24"/>
          <w:szCs w:val="24"/>
        </w:rPr>
        <w:t xml:space="preserve">            </w:t>
      </w:r>
      <w:proofErr w:type="gramStart"/>
      <w:r w:rsidR="00A37B6E">
        <w:rPr>
          <w:rFonts w:ascii="Times New Roman" w:hAnsi="Times New Roman" w:cs="Times New Roman"/>
          <w:b/>
          <w:bCs/>
          <w:sz w:val="24"/>
          <w:szCs w:val="24"/>
        </w:rPr>
        <w:t xml:space="preserve">  </w:t>
      </w:r>
      <w:r w:rsidR="00224749" w:rsidRPr="00310591">
        <w:rPr>
          <w:rFonts w:ascii="Times New Roman" w:hAnsi="Times New Roman" w:cs="Times New Roman"/>
          <w:b/>
          <w:bCs/>
          <w:sz w:val="24"/>
          <w:szCs w:val="24"/>
        </w:rPr>
        <w:t>:</w:t>
      </w:r>
      <w:proofErr w:type="gramEnd"/>
      <w:r w:rsidR="00D83940" w:rsidRPr="00310591">
        <w:rPr>
          <w:rFonts w:ascii="Times New Roman" w:hAnsi="Times New Roman" w:cs="Times New Roman"/>
          <w:b/>
          <w:bCs/>
          <w:sz w:val="24"/>
          <w:szCs w:val="24"/>
        </w:rPr>
        <w:t xml:space="preserve">  ONE [1]</w:t>
      </w:r>
    </w:p>
    <w:p w14:paraId="7AD0047E" w14:textId="77777777" w:rsidR="00224749" w:rsidRDefault="00224749" w:rsidP="00BB198E">
      <w:pPr>
        <w:spacing w:line="360" w:lineRule="auto"/>
        <w:jc w:val="both"/>
        <w:rPr>
          <w:rFonts w:ascii="Times New Roman" w:hAnsi="Times New Roman" w:cs="Times New Roman"/>
          <w:sz w:val="24"/>
          <w:szCs w:val="24"/>
        </w:rPr>
      </w:pPr>
    </w:p>
    <w:p w14:paraId="2DB366B9" w14:textId="3FCFDA1D" w:rsidR="00224749" w:rsidRPr="00B77474" w:rsidRDefault="00D83940" w:rsidP="00BB198E">
      <w:pPr>
        <w:spacing w:line="360" w:lineRule="auto"/>
        <w:jc w:val="both"/>
        <w:rPr>
          <w:rFonts w:ascii="Times New Roman" w:hAnsi="Times New Roman" w:cs="Times New Roman"/>
          <w:sz w:val="28"/>
          <w:szCs w:val="28"/>
        </w:rPr>
      </w:pPr>
      <w:r w:rsidRPr="0067483E">
        <w:rPr>
          <w:rFonts w:ascii="Times New Roman" w:hAnsi="Times New Roman" w:cs="Times New Roman"/>
          <w:b/>
          <w:bCs/>
          <w:sz w:val="28"/>
          <w:szCs w:val="28"/>
        </w:rPr>
        <w:t>Question</w:t>
      </w:r>
      <w:r w:rsidRPr="00B77474">
        <w:rPr>
          <w:rFonts w:ascii="Times New Roman" w:hAnsi="Times New Roman" w:cs="Times New Roman"/>
          <w:sz w:val="28"/>
          <w:szCs w:val="28"/>
        </w:rPr>
        <w:t xml:space="preserve">: Explain why a natural economy revolving around land was adopted during the Middle Age. What </w:t>
      </w:r>
      <w:r w:rsidR="002B1B8B" w:rsidRPr="00B77474">
        <w:rPr>
          <w:rFonts w:ascii="Times New Roman" w:hAnsi="Times New Roman" w:cs="Times New Roman"/>
          <w:sz w:val="28"/>
          <w:szCs w:val="28"/>
        </w:rPr>
        <w:t>factors account for the failure by feudal societies to sustain that economy by 16</w:t>
      </w:r>
      <w:r w:rsidR="002B1B8B" w:rsidRPr="00B77474">
        <w:rPr>
          <w:rFonts w:ascii="Times New Roman" w:hAnsi="Times New Roman" w:cs="Times New Roman"/>
          <w:sz w:val="28"/>
          <w:szCs w:val="28"/>
          <w:vertAlign w:val="superscript"/>
        </w:rPr>
        <w:t>th</w:t>
      </w:r>
      <w:r w:rsidR="002B1B8B" w:rsidRPr="00B77474">
        <w:rPr>
          <w:rFonts w:ascii="Times New Roman" w:hAnsi="Times New Roman" w:cs="Times New Roman"/>
          <w:sz w:val="28"/>
          <w:szCs w:val="28"/>
        </w:rPr>
        <w:t xml:space="preserve"> Century?</w:t>
      </w:r>
    </w:p>
    <w:p w14:paraId="6BAA87D5" w14:textId="77777777" w:rsidR="00224749" w:rsidRDefault="00224749" w:rsidP="00BB198E">
      <w:pPr>
        <w:spacing w:line="360" w:lineRule="auto"/>
        <w:jc w:val="both"/>
        <w:rPr>
          <w:rFonts w:ascii="Times New Roman" w:hAnsi="Times New Roman" w:cs="Times New Roman"/>
          <w:sz w:val="24"/>
          <w:szCs w:val="24"/>
        </w:rPr>
      </w:pPr>
    </w:p>
    <w:p w14:paraId="4ABABCE9" w14:textId="77777777" w:rsidR="00224749" w:rsidRDefault="00224749" w:rsidP="00BB198E">
      <w:pPr>
        <w:spacing w:line="360" w:lineRule="auto"/>
        <w:jc w:val="both"/>
        <w:rPr>
          <w:rFonts w:ascii="Times New Roman" w:hAnsi="Times New Roman" w:cs="Times New Roman"/>
          <w:sz w:val="24"/>
          <w:szCs w:val="24"/>
        </w:rPr>
      </w:pPr>
    </w:p>
    <w:p w14:paraId="6076D128" w14:textId="77777777" w:rsidR="00224749" w:rsidRDefault="00224749" w:rsidP="00BB198E">
      <w:pPr>
        <w:spacing w:line="360" w:lineRule="auto"/>
        <w:jc w:val="both"/>
        <w:rPr>
          <w:rFonts w:ascii="Times New Roman" w:hAnsi="Times New Roman" w:cs="Times New Roman"/>
          <w:sz w:val="24"/>
          <w:szCs w:val="24"/>
        </w:rPr>
      </w:pPr>
    </w:p>
    <w:p w14:paraId="33D8F24E" w14:textId="77777777" w:rsidR="002B1B8B" w:rsidRDefault="002B1B8B" w:rsidP="00BB198E">
      <w:pPr>
        <w:spacing w:line="360" w:lineRule="auto"/>
        <w:jc w:val="both"/>
        <w:rPr>
          <w:rFonts w:ascii="Times New Roman" w:hAnsi="Times New Roman" w:cs="Times New Roman"/>
          <w:sz w:val="24"/>
          <w:szCs w:val="24"/>
        </w:rPr>
      </w:pPr>
    </w:p>
    <w:p w14:paraId="1E960F9F" w14:textId="51935543" w:rsidR="006D259A"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lastRenderedPageBreak/>
        <w:t xml:space="preserve">The centuries following the collapse of the Western Roman Empire witnessed a profound transformation in the economic and political landscape of Western Europe. Central to this reconfiguration was the emergence </w:t>
      </w:r>
      <w:r w:rsidR="006D259A">
        <w:rPr>
          <w:rFonts w:ascii="Times New Roman" w:hAnsi="Times New Roman" w:cs="Times New Roman"/>
          <w:sz w:val="24"/>
          <w:szCs w:val="24"/>
        </w:rPr>
        <w:t xml:space="preserve">of the manorial system, a </w:t>
      </w:r>
      <w:proofErr w:type="gramStart"/>
      <w:r w:rsidR="006D259A">
        <w:rPr>
          <w:rFonts w:ascii="Times New Roman" w:hAnsi="Times New Roman" w:cs="Times New Roman"/>
          <w:sz w:val="24"/>
          <w:szCs w:val="24"/>
        </w:rPr>
        <w:t xml:space="preserve">socio </w:t>
      </w:r>
      <w:r w:rsidRPr="00BB198E">
        <w:rPr>
          <w:rFonts w:ascii="Times New Roman" w:hAnsi="Times New Roman" w:cs="Times New Roman"/>
          <w:sz w:val="24"/>
          <w:szCs w:val="24"/>
        </w:rPr>
        <w:t>economic</w:t>
      </w:r>
      <w:proofErr w:type="gramEnd"/>
      <w:r w:rsidRPr="00BB198E">
        <w:rPr>
          <w:rFonts w:ascii="Times New Roman" w:hAnsi="Times New Roman" w:cs="Times New Roman"/>
          <w:sz w:val="24"/>
          <w:szCs w:val="24"/>
        </w:rPr>
        <w:t xml:space="preserve"> framework that profoundly influenced the organization of rural life. Characterized by the consolidation of landholdings under the authority of local lords and the imposition of labor obligations upon peasant populations, the manorial system served as a cornerstone of medieval European society. This essay endeavors to explore the origins, mechanics, and implications of the manorial system, elucidating its role in shaping the trajectory of Western European history.</w:t>
      </w:r>
    </w:p>
    <w:p w14:paraId="7DE21223"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The fragmentation of centralized secular authority across western Europe following the gradual unravelling of the Roman imperial system was perhaps the key driving force behind the emergence of the feudal manorial economy in the centuries after 500 AD.</w:t>
      </w:r>
      <w:r w:rsidR="006D259A">
        <w:rPr>
          <w:rStyle w:val="FootnoteReference"/>
          <w:rFonts w:ascii="Times New Roman" w:hAnsi="Times New Roman" w:cs="Times New Roman"/>
          <w:sz w:val="24"/>
          <w:szCs w:val="24"/>
        </w:rPr>
        <w:footnoteReference w:id="1"/>
      </w:r>
      <w:r w:rsidRPr="00BB198E">
        <w:rPr>
          <w:rFonts w:ascii="Times New Roman" w:hAnsi="Times New Roman" w:cs="Times New Roman"/>
          <w:sz w:val="24"/>
          <w:szCs w:val="24"/>
        </w:rPr>
        <w:t xml:space="preserve"> As the overarching secular power structure personified by Roman emperors, provincial governors, tax collectors and legionary forces disintegrated, it created a massive power vacuum across the vast territories that had once comprised the Western Roman Empire. Into this void rushed the parochial forces of localized warrior elites, petty chieftains, brigands and warlords all vying for control of the remaining landed wealth, fortified towns and upstart principalities. Gone was any ability for a centralized state to impose order through uniform systems of taxation, law enforcement, urban administration and defense policy over a vast territorial dominion as the Romans had done. Instead, each pocket of feuding magnates fell back on their own means of mustering localized military strength and hoarding scarce resources to survive and compete against other rivals in this decentralized milieu of anarchic conflict.</w:t>
      </w:r>
    </w:p>
    <w:p w14:paraId="64DEBE93"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Paradoxically, it was the very collapse of Roman central authority that paved the way for the entrenched system of heavily fortified and inward-looking estates known as manors to become the fundamental economic, political and social units upon which the feudal order cohered.</w:t>
      </w:r>
      <w:r w:rsidR="006D259A">
        <w:rPr>
          <w:rStyle w:val="FootnoteReference"/>
          <w:rFonts w:ascii="Times New Roman" w:hAnsi="Times New Roman" w:cs="Times New Roman"/>
          <w:sz w:val="24"/>
          <w:szCs w:val="24"/>
        </w:rPr>
        <w:footnoteReference w:id="2"/>
      </w:r>
      <w:r w:rsidRPr="00BB198E">
        <w:rPr>
          <w:rFonts w:ascii="Times New Roman" w:hAnsi="Times New Roman" w:cs="Times New Roman"/>
          <w:sz w:val="24"/>
          <w:szCs w:val="24"/>
        </w:rPr>
        <w:t xml:space="preserve"> These massive, strategically positioned landed complexes represented concentrated caches of agricultural wealth, military resources and human labor under the control of whichever roving warlords and warrior aristocrats could muster sufficient force to seize them when Roman power dissolved. Those barons who captured the most formidable of these manorial strongholds with their granaries, </w:t>
      </w:r>
      <w:r w:rsidRPr="00BB198E">
        <w:rPr>
          <w:rFonts w:ascii="Times New Roman" w:hAnsi="Times New Roman" w:cs="Times New Roman"/>
          <w:sz w:val="24"/>
          <w:szCs w:val="24"/>
        </w:rPr>
        <w:lastRenderedPageBreak/>
        <w:t>armories, peasant cottages, military garrisons and landed estates could then use these consolidated holdings to wage war against weaker rivals holding smaller estates and manors.</w:t>
      </w:r>
    </w:p>
    <w:p w14:paraId="504202F7"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In this Hobbesian state of virtually perpetual warfare, survival for these martial elites meant jealously guarding every hard-won measure of regional power and dynastic influence radiating outwards from their prime manorial holdings.</w:t>
      </w:r>
      <w:r w:rsidR="006D259A">
        <w:rPr>
          <w:rStyle w:val="FootnoteReference"/>
          <w:rFonts w:ascii="Times New Roman" w:hAnsi="Times New Roman" w:cs="Times New Roman"/>
          <w:sz w:val="24"/>
          <w:szCs w:val="24"/>
        </w:rPr>
        <w:footnoteReference w:id="3"/>
      </w:r>
      <w:r w:rsidRPr="00BB198E">
        <w:rPr>
          <w:rFonts w:ascii="Times New Roman" w:hAnsi="Times New Roman" w:cs="Times New Roman"/>
          <w:sz w:val="24"/>
          <w:szCs w:val="24"/>
        </w:rPr>
        <w:t xml:space="preserve"> Each lord would surround his principal manor with layers of defensive fortifications such as moats, wooden palisades, earthworks and towering walls from which troops could be marshaled to protect the estate's precious</w:t>
      </w:r>
      <w:r w:rsidR="006D259A">
        <w:rPr>
          <w:rFonts w:ascii="Times New Roman" w:hAnsi="Times New Roman" w:cs="Times New Roman"/>
          <w:sz w:val="24"/>
          <w:szCs w:val="24"/>
        </w:rPr>
        <w:t xml:space="preserve"> agricultural production base </w:t>
      </w:r>
      <w:r w:rsidRPr="00BB198E">
        <w:rPr>
          <w:rFonts w:ascii="Times New Roman" w:hAnsi="Times New Roman" w:cs="Times New Roman"/>
          <w:sz w:val="24"/>
          <w:szCs w:val="24"/>
        </w:rPr>
        <w:t>its arable fields, granaries, mills, fishing ponds and wild game forests. Similarly, the manor's contingents of bonded peasant laborers would be driven to maximize self-sufficient levels of grain, livestock and vegetable production within the estate's hedged confines, as the chaos reigning in the surrounding no-man's lands rendered long-distance supply chains and outside markets utterly undependable.</w:t>
      </w:r>
    </w:p>
    <w:p w14:paraId="0F789759" w14:textId="77777777" w:rsidR="00BB198E" w:rsidRPr="00BB198E" w:rsidRDefault="00BB198E" w:rsidP="00BB198E">
      <w:pPr>
        <w:spacing w:line="360" w:lineRule="auto"/>
        <w:jc w:val="both"/>
        <w:rPr>
          <w:rFonts w:ascii="Times New Roman" w:hAnsi="Times New Roman" w:cs="Times New Roman"/>
          <w:sz w:val="24"/>
          <w:szCs w:val="24"/>
        </w:rPr>
      </w:pPr>
      <w:proofErr w:type="gramStart"/>
      <w:r w:rsidRPr="00BB198E">
        <w:rPr>
          <w:rFonts w:ascii="Times New Roman" w:hAnsi="Times New Roman" w:cs="Times New Roman"/>
          <w:sz w:val="24"/>
          <w:szCs w:val="24"/>
        </w:rPr>
        <w:t>So</w:t>
      </w:r>
      <w:proofErr w:type="gramEnd"/>
      <w:r w:rsidRPr="00BB198E">
        <w:rPr>
          <w:rFonts w:ascii="Times New Roman" w:hAnsi="Times New Roman" w:cs="Times New Roman"/>
          <w:sz w:val="24"/>
          <w:szCs w:val="24"/>
        </w:rPr>
        <w:t xml:space="preserve"> over the course of this prolonged twilight of Roman decline between 500-800 AD, the fortified agricultural manor emerged as the fundamental socioeconomic-military unit undergirding the feudal order and landed nobility across western Europe precisely because it succeeded as an insular, self-contained node of resources and defensive military capabilities during an era of endemic localism and ceaseless warfare. Without the stabilizing presence of some overarching sovereign polity to regulate fair systems of commerce and maintain public security, society fractured down to its atavistic foundations centered around intramural, martial elites obsessively accumulating their own stores of private wealth and brooked no outside challenges to their dominion over land and labor within their localized manorial realms.</w:t>
      </w:r>
    </w:p>
    <w:p w14:paraId="2052EE1A" w14:textId="7D4A7766" w:rsidR="00BB198E" w:rsidRPr="00BB198E" w:rsidRDefault="00BB198E" w:rsidP="00BB198E">
      <w:pPr>
        <w:spacing w:line="360" w:lineRule="auto"/>
        <w:jc w:val="both"/>
        <w:rPr>
          <w:rFonts w:ascii="Times New Roman" w:hAnsi="Times New Roman" w:cs="Times New Roman"/>
          <w:sz w:val="24"/>
          <w:szCs w:val="24"/>
        </w:rPr>
      </w:pPr>
      <w:proofErr w:type="gramStart"/>
      <w:r w:rsidRPr="00BB198E">
        <w:rPr>
          <w:rFonts w:ascii="Times New Roman" w:hAnsi="Times New Roman" w:cs="Times New Roman"/>
          <w:sz w:val="24"/>
          <w:szCs w:val="24"/>
        </w:rPr>
        <w:t>This</w:t>
      </w:r>
      <w:r w:rsidR="00E355A5">
        <w:rPr>
          <w:rFonts w:ascii="Times New Roman" w:hAnsi="Times New Roman" w:cs="Times New Roman"/>
          <w:sz w:val="24"/>
          <w:szCs w:val="24"/>
        </w:rPr>
        <w:t xml:space="preserve"> </w:t>
      </w:r>
      <w:r w:rsidRPr="00BB198E">
        <w:rPr>
          <w:rFonts w:ascii="Times New Roman" w:hAnsi="Times New Roman" w:cs="Times New Roman"/>
          <w:sz w:val="24"/>
          <w:szCs w:val="24"/>
        </w:rPr>
        <w:t>nine century-long vacuum of centralized secular authority</w:t>
      </w:r>
      <w:proofErr w:type="gramEnd"/>
      <w:r w:rsidRPr="00BB198E">
        <w:rPr>
          <w:rFonts w:ascii="Times New Roman" w:hAnsi="Times New Roman" w:cs="Times New Roman"/>
          <w:sz w:val="24"/>
          <w:szCs w:val="24"/>
        </w:rPr>
        <w:t xml:space="preserve"> proved the petri dish allowing feudalism's distinctive model of agricultural production and social organization rooted in fortified manorial estates to completely displace any lingering vestiges of the old Roman economic system sustained by integrated markets, long-range mercantile trade routes, monetized transactions and interdependent regional specialization. In the centuries straddling 500-1300 AD, the feudal manorial estate effectively filled the power void left by Rome's disintegration, furnishing western Europeans with their core units of military command, upper class landed wealth, subsistence </w:t>
      </w:r>
      <w:r w:rsidRPr="00BB198E">
        <w:rPr>
          <w:rFonts w:ascii="Times New Roman" w:hAnsi="Times New Roman" w:cs="Times New Roman"/>
          <w:sz w:val="24"/>
          <w:szCs w:val="24"/>
        </w:rPr>
        <w:lastRenderedPageBreak/>
        <w:t>economics and social hierarchies until expanding population levels, commercial revival and the reconstitution of royal authority prompted the gradual fusion of these isolated manorial units into larger, more cosmopolitan economic orbits</w:t>
      </w:r>
      <w:r w:rsidR="006D259A">
        <w:rPr>
          <w:rFonts w:ascii="Times New Roman" w:hAnsi="Times New Roman" w:cs="Times New Roman"/>
          <w:sz w:val="24"/>
          <w:szCs w:val="24"/>
        </w:rPr>
        <w:t xml:space="preserve"> by the late medieval period.</w:t>
      </w:r>
      <w:r w:rsidR="006D259A">
        <w:rPr>
          <w:rStyle w:val="FootnoteReference"/>
          <w:rFonts w:ascii="Times New Roman" w:hAnsi="Times New Roman" w:cs="Times New Roman"/>
          <w:sz w:val="24"/>
          <w:szCs w:val="24"/>
        </w:rPr>
        <w:footnoteReference w:id="4"/>
      </w:r>
      <w:r w:rsidRPr="00BB198E">
        <w:rPr>
          <w:rFonts w:ascii="Times New Roman" w:hAnsi="Times New Roman" w:cs="Times New Roman"/>
          <w:sz w:val="24"/>
          <w:szCs w:val="24"/>
        </w:rPr>
        <w:t xml:space="preserve"> But for nearly a millennia, it was the autarkic, fortress-like manorial complex that embodied localized power, social stratification and landed economics across this anarchic, violence-plagued emerging feudal order.</w:t>
      </w:r>
    </w:p>
    <w:p w14:paraId="28851AD6"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A second crucial factor catalyzing the feudal world's fixation on fortified agricultural estates was the influx of Germanic warrior tribes like the Visigoths, Ostrogoths, Vandals, Franks and Lombards who poured across the depleted Roman frontiers in the waning centuries of the empire. These incursions only added to the generalized climate of violence, plunder and dislocation convulsing the former Roman territories in western Europe during the 500-700s AD.</w:t>
      </w:r>
      <w:r w:rsidR="006D259A">
        <w:rPr>
          <w:rStyle w:val="FootnoteReference"/>
          <w:rFonts w:ascii="Times New Roman" w:hAnsi="Times New Roman" w:cs="Times New Roman"/>
          <w:sz w:val="24"/>
          <w:szCs w:val="24"/>
        </w:rPr>
        <w:footnoteReference w:id="5"/>
      </w:r>
      <w:r w:rsidRPr="00BB198E">
        <w:rPr>
          <w:rFonts w:ascii="Times New Roman" w:hAnsi="Times New Roman" w:cs="Times New Roman"/>
          <w:sz w:val="24"/>
          <w:szCs w:val="24"/>
        </w:rPr>
        <w:t xml:space="preserve"> With the imperial legions gone, there was little to impede the advance of these seething migratory bands who brought with them an ethos of martial pugnacity wherever they settled and carved out dominions amid the wreckage of Roman civilization. To the already dizzying </w:t>
      </w:r>
      <w:proofErr w:type="spellStart"/>
      <w:r w:rsidRPr="00BB198E">
        <w:rPr>
          <w:rFonts w:ascii="Times New Roman" w:hAnsi="Times New Roman" w:cs="Times New Roman"/>
          <w:sz w:val="24"/>
          <w:szCs w:val="24"/>
        </w:rPr>
        <w:t>atmosplod</w:t>
      </w:r>
      <w:proofErr w:type="spellEnd"/>
      <w:r w:rsidRPr="00BB198E">
        <w:rPr>
          <w:rFonts w:ascii="Times New Roman" w:hAnsi="Times New Roman" w:cs="Times New Roman"/>
          <w:sz w:val="24"/>
          <w:szCs w:val="24"/>
        </w:rPr>
        <w:t xml:space="preserve"> populations and compete against other rivals determined to enhance their own landed power base and private forces of armed retainers.</w:t>
      </w:r>
    </w:p>
    <w:p w14:paraId="156350D9"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For a landed baron of this era, the acquisition and defense of expansive agricultural estates offered the most rational path to ascendancy over these roiling environments of pervasive warfare and vagabond tides of plunder. Controlling prime agrarian territory allowed a lord to reap the harvests that could feed, equip and dispense soldierly wages to masses of armed freemen who would then flock to serve as the landed fighting retinues comprising his personal military force. Possession of fertile fields, vineyards, pastures and forests meant a self-replenishing wealth of food renders, tithes and usable resources that could be converted into armaments, castles and equine forces for prosecuting wars against neighboring potentates also driven to enhance their own martial strengths rooted in agricultural production. Those who controlled the most, and most productive, landed fiefdoms could sustain the largest contingents of well-provisioned mounted knights, foot soldiers and siege artillery for overwhelming their inevitably less landed and less solvent rivals.</w:t>
      </w:r>
    </w:p>
    <w:p w14:paraId="1E2144CA"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 xml:space="preserve">The prevalence of violence afflicting Europe between the 6th-9th centuries surrounding the dissolution of Rome and barbarian migrations thus starkly reduced the incentives for devoting </w:t>
      </w:r>
      <w:r w:rsidRPr="00BB198E">
        <w:rPr>
          <w:rFonts w:ascii="Times New Roman" w:hAnsi="Times New Roman" w:cs="Times New Roman"/>
          <w:sz w:val="24"/>
          <w:szCs w:val="24"/>
        </w:rPr>
        <w:lastRenderedPageBreak/>
        <w:t>resources to commercial markets, artisanal production or territorialized banking that might otherwise have developed along more peaceable trajectories. Instead, outright predation and survival through martial prowess channeled all aristocratic energies into concentrating control over agricultural manors that could sustain their private armed forces while withstanding any encroachments by covetous outside marauders.</w:t>
      </w:r>
      <w:r w:rsidR="006D259A">
        <w:rPr>
          <w:rStyle w:val="FootnoteReference"/>
          <w:rFonts w:ascii="Times New Roman" w:hAnsi="Times New Roman" w:cs="Times New Roman"/>
          <w:sz w:val="24"/>
          <w:szCs w:val="24"/>
        </w:rPr>
        <w:footnoteReference w:id="6"/>
      </w:r>
      <w:r w:rsidRPr="00BB198E">
        <w:rPr>
          <w:rFonts w:ascii="Times New Roman" w:hAnsi="Times New Roman" w:cs="Times New Roman"/>
          <w:sz w:val="24"/>
          <w:szCs w:val="24"/>
        </w:rPr>
        <w:t xml:space="preserve"> In this brutally strife-torn setting, those barons who most aggressively consolidated their landed holdings and extracted maximal output from these agrarian fiefs could deploy materially superior forces to crush their localized enemies also contending for the spoils of territorial dominion over fields and peasants.</w:t>
      </w:r>
    </w:p>
    <w:p w14:paraId="7D58B672"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The imperative of tying together expansive landed wealth with dependent levies of mounted warriors bound by oaths of martial homage ultimately birthed a durable feudal mode of economic and social organization petrified around relations of land tenure and fortified, self-contained manorial estates. The lord of the greatest fortified agrarian complex could monopolize the support of the strongest dukes and knightly cavalries ready to rally under his banner in this eternal contest to enhance private forces and landed resources. Defensive moated manors bristling with militarized granaries and peasant garrisons joined through chains of landholding fealty thus formed the decentralized loci of power radiant across Europe's territorialized checkerboard of perpetually clashing aristocratic houses clamoring for supremacy over their lesser neighbors.</w:t>
      </w:r>
      <w:r w:rsidR="006D259A">
        <w:rPr>
          <w:rStyle w:val="FootnoteReference"/>
          <w:rFonts w:ascii="Times New Roman" w:hAnsi="Times New Roman" w:cs="Times New Roman"/>
          <w:sz w:val="24"/>
          <w:szCs w:val="24"/>
        </w:rPr>
        <w:footnoteReference w:id="7"/>
      </w:r>
    </w:p>
    <w:p w14:paraId="4F5C350A"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 xml:space="preserve">It was, in essence, a regressive spiral harking back to the warlord economics and privatized violence of </w:t>
      </w:r>
      <w:r w:rsidR="006D259A">
        <w:rPr>
          <w:rFonts w:ascii="Times New Roman" w:hAnsi="Times New Roman" w:cs="Times New Roman"/>
          <w:sz w:val="24"/>
          <w:szCs w:val="24"/>
        </w:rPr>
        <w:t>Europe's prehistoric antiquity</w:t>
      </w:r>
      <w:r w:rsidRPr="00BB198E">
        <w:rPr>
          <w:rFonts w:ascii="Times New Roman" w:hAnsi="Times New Roman" w:cs="Times New Roman"/>
          <w:sz w:val="24"/>
          <w:szCs w:val="24"/>
        </w:rPr>
        <w:t xml:space="preserve"> only now attenuated into more institutionalized rituals of knightly combat and noble lineages arrayed around major fortified manors presiding over fiefdoms of servile peasant workers and feudal leaseholders.</w:t>
      </w:r>
      <w:r w:rsidR="006D259A">
        <w:rPr>
          <w:rStyle w:val="FootnoteReference"/>
          <w:rFonts w:ascii="Times New Roman" w:hAnsi="Times New Roman" w:cs="Times New Roman"/>
          <w:sz w:val="24"/>
          <w:szCs w:val="24"/>
        </w:rPr>
        <w:footnoteReference w:id="8"/>
      </w:r>
      <w:r w:rsidRPr="00BB198E">
        <w:rPr>
          <w:rFonts w:ascii="Times New Roman" w:hAnsi="Times New Roman" w:cs="Times New Roman"/>
          <w:sz w:val="24"/>
          <w:szCs w:val="24"/>
        </w:rPr>
        <w:t xml:space="preserve"> Yet the prevalence of internecine conflict on every front necessitated this garrison state mentality prioritizing proprietary control over prime agricultural strongholds and optimizing their crop yields to fund ever-growing private armies sworn to their landholding overlords. So while Europe eventually underwent prosperous periods of renaissances, maritime exploration and widened commercial integration under robust centralized states by the late medieval era, the origins of feudalism's endemic obsession with </w:t>
      </w:r>
      <w:r w:rsidRPr="00BB198E">
        <w:rPr>
          <w:rFonts w:ascii="Times New Roman" w:hAnsi="Times New Roman" w:cs="Times New Roman"/>
          <w:sz w:val="24"/>
          <w:szCs w:val="24"/>
        </w:rPr>
        <w:lastRenderedPageBreak/>
        <w:t>landed estates as concentrated sources of nutrients and capital for prosecuting martial clashes can be traced directly to the ubiquitous violence convulsing the post-Roman territories fo</w:t>
      </w:r>
      <w:r w:rsidR="006D259A">
        <w:rPr>
          <w:rFonts w:ascii="Times New Roman" w:hAnsi="Times New Roman" w:cs="Times New Roman"/>
          <w:sz w:val="24"/>
          <w:szCs w:val="24"/>
        </w:rPr>
        <w:t>llowing Germanic inundations.</w:t>
      </w:r>
      <w:r w:rsidR="006D259A">
        <w:rPr>
          <w:rStyle w:val="FootnoteReference"/>
          <w:rFonts w:ascii="Times New Roman" w:hAnsi="Times New Roman" w:cs="Times New Roman"/>
          <w:sz w:val="24"/>
          <w:szCs w:val="24"/>
        </w:rPr>
        <w:footnoteReference w:id="9"/>
      </w:r>
      <w:r w:rsidRPr="00BB198E">
        <w:rPr>
          <w:rFonts w:ascii="Times New Roman" w:hAnsi="Times New Roman" w:cs="Times New Roman"/>
          <w:sz w:val="24"/>
          <w:szCs w:val="24"/>
        </w:rPr>
        <w:t xml:space="preserve"> It was an economic and social order birthed by endless cycles of rapaciousness and counter-rapaciousness over scarce agricultural resources during a nadir of public security and atomized sovereignty.</w:t>
      </w:r>
    </w:p>
    <w:p w14:paraId="1F6BA3C4"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 xml:space="preserve">A third pivotal factor locking feudal European society into its pattern of manorial agrarianism was the widespread adoption of hierarchical political conventions known as vassalage. Under these customs, lesser territorial magnates or knights would pledge oaths of martial fealty and service to more powerful overlords in exchange for legal rights over parcels of lucrative farmland and manorial holdings. This created an intricate interlocking pyramid of bilateral obligations radiating outwards from supreme ruling monarchs down to lowly landed knights and castellan lords - each echelon of </w:t>
      </w:r>
      <w:proofErr w:type="spellStart"/>
      <w:r w:rsidRPr="00BB198E">
        <w:rPr>
          <w:rFonts w:ascii="Times New Roman" w:hAnsi="Times New Roman" w:cs="Times New Roman"/>
          <w:sz w:val="24"/>
          <w:szCs w:val="24"/>
        </w:rPr>
        <w:t>enfoeffed</w:t>
      </w:r>
      <w:proofErr w:type="spellEnd"/>
      <w:r w:rsidRPr="00BB198E">
        <w:rPr>
          <w:rFonts w:ascii="Times New Roman" w:hAnsi="Times New Roman" w:cs="Times New Roman"/>
          <w:sz w:val="24"/>
          <w:szCs w:val="24"/>
        </w:rPr>
        <w:t xml:space="preserve"> vassals bound in varying degrees of military service and agricultural renders to their respective superiors who had granted them temporary rights to preside over specific estates and peasant workforces.</w:t>
      </w:r>
    </w:p>
    <w:p w14:paraId="7F765597" w14:textId="3344054D" w:rsidR="00BB198E" w:rsidRPr="00BB198E" w:rsidRDefault="00BB198E" w:rsidP="00BB198E">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BB198E">
        <w:rPr>
          <w:rFonts w:ascii="Times New Roman" w:hAnsi="Times New Roman" w:cs="Times New Roman"/>
          <w:sz w:val="24"/>
          <w:szCs w:val="24"/>
        </w:rPr>
        <w:t>he sheer demographic implosion sowing ruination across Europe due to depopulating waves of barbarian invasions, plagues and famines in the centuries surrounding 500-800 AD drastically altered the material realities incentivizing manorial landed tenures as the predominant means of economic production and social organization.</w:t>
      </w:r>
      <w:r w:rsidR="006D259A">
        <w:rPr>
          <w:rStyle w:val="FootnoteReference"/>
          <w:rFonts w:ascii="Times New Roman" w:hAnsi="Times New Roman" w:cs="Times New Roman"/>
          <w:sz w:val="24"/>
          <w:szCs w:val="24"/>
        </w:rPr>
        <w:footnoteReference w:id="10"/>
      </w:r>
      <w:r w:rsidRPr="00BB198E">
        <w:rPr>
          <w:rFonts w:ascii="Times New Roman" w:hAnsi="Times New Roman" w:cs="Times New Roman"/>
          <w:sz w:val="24"/>
          <w:szCs w:val="24"/>
        </w:rPr>
        <w:t xml:space="preserve"> As the urban market towns and interregional trade conduits that had sustained the intricate commercial webs of the old Roman economy steadily withered from lack of human capital, the on</w:t>
      </w:r>
      <w:r w:rsidR="00DD6025">
        <w:rPr>
          <w:rFonts w:ascii="Times New Roman" w:hAnsi="Times New Roman" w:cs="Times New Roman"/>
          <w:sz w:val="24"/>
          <w:szCs w:val="24"/>
        </w:rPr>
        <w:t>`</w:t>
      </w:r>
      <w:r w:rsidR="00DD6025">
        <w:rPr>
          <w:rFonts w:ascii="Times New Roman" w:hAnsi="Times New Roman" w:cs="Times New Roman"/>
          <w:sz w:val="24"/>
          <w:szCs w:val="24"/>
        </w:rPr>
        <w:tab/>
      </w:r>
      <w:proofErr w:type="spellStart"/>
      <w:r w:rsidRPr="00BB198E">
        <w:rPr>
          <w:rFonts w:ascii="Times New Roman" w:hAnsi="Times New Roman" w:cs="Times New Roman"/>
          <w:sz w:val="24"/>
          <w:szCs w:val="24"/>
        </w:rPr>
        <w:t>ce</w:t>
      </w:r>
      <w:proofErr w:type="spellEnd"/>
      <w:r w:rsidRPr="00BB198E">
        <w:rPr>
          <w:rFonts w:ascii="Times New Roman" w:hAnsi="Times New Roman" w:cs="Times New Roman"/>
          <w:sz w:val="24"/>
          <w:szCs w:val="24"/>
        </w:rPr>
        <w:t xml:space="preserve">-diffuse and variegated patterns of agricultural surplus production feeding into mercantile exchange systems devolved into increasingly localized and autarkic subsistence farming worked by what remained of peasant </w:t>
      </w:r>
      <w:proofErr w:type="spellStart"/>
      <w:r w:rsidRPr="00BB198E">
        <w:rPr>
          <w:rFonts w:ascii="Times New Roman" w:hAnsi="Times New Roman" w:cs="Times New Roman"/>
          <w:sz w:val="24"/>
          <w:szCs w:val="24"/>
        </w:rPr>
        <w:t>ruralities</w:t>
      </w:r>
      <w:proofErr w:type="spellEnd"/>
      <w:r w:rsidRPr="00BB198E">
        <w:rPr>
          <w:rFonts w:ascii="Times New Roman" w:hAnsi="Times New Roman" w:cs="Times New Roman"/>
          <w:sz w:val="24"/>
          <w:szCs w:val="24"/>
        </w:rPr>
        <w:t xml:space="preserve"> clinging to life. With such decimation leaving vast swathes of abandoned, arable territories across whole city-dwelling populations were virtually extinguished by pestilential die-offs, the elemental ratio of labor to cultivable landed resources utterly pivoted to favor those warlords who could command and conscript masses of newly immiserated paysans to work expansive stretches of unwanted, low-density farmlands. In effect, the secular manor replaced the urban market nexus as the core spatial unit for organizing human economic activities.</w:t>
      </w:r>
    </w:p>
    <w:p w14:paraId="79BE7551"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lastRenderedPageBreak/>
        <w:t xml:space="preserve">For a landed suzerain of this depopulated epoch, therefore, consolidating control over prime wide-ranging agrarian properties and binding their diminished labor reserves into frozen serf tenures offered profound increases of relative power compared to withered urban merchantry eclipsed by the generalized demographic collapse. While land had always maintained primacies of wealth under Rome's commercialized empire, the grotesque superfluity of untilled acres opposite the mass diasporas of famines and plagues made monopolistic landholding and coercive manorial workforces an existential imperative that only a rural military aristocracy could furnish through sheer intimidation. </w:t>
      </w:r>
      <w:proofErr w:type="gramStart"/>
      <w:r w:rsidRPr="00BB198E">
        <w:rPr>
          <w:rFonts w:ascii="Times New Roman" w:hAnsi="Times New Roman" w:cs="Times New Roman"/>
          <w:sz w:val="24"/>
          <w:szCs w:val="24"/>
        </w:rPr>
        <w:t>So</w:t>
      </w:r>
      <w:proofErr w:type="gramEnd"/>
      <w:r w:rsidRPr="00BB198E">
        <w:rPr>
          <w:rFonts w:ascii="Times New Roman" w:hAnsi="Times New Roman" w:cs="Times New Roman"/>
          <w:sz w:val="24"/>
          <w:szCs w:val="24"/>
        </w:rPr>
        <w:t xml:space="preserve"> in these brutally depopulated environments where arable territory abounded but employable paysans became a vanished scarcity, feudalized bonds of territorial mastery and servile labor tenures grew organically out of these skewed resource limitations which implicitly favored landed warlords' abilities to mobilize any remaining human reserves through martial supremacy.</w:t>
      </w:r>
      <w:r w:rsidR="006D259A">
        <w:rPr>
          <w:rStyle w:val="FootnoteReference"/>
          <w:rFonts w:ascii="Times New Roman" w:hAnsi="Times New Roman" w:cs="Times New Roman"/>
          <w:sz w:val="24"/>
          <w:szCs w:val="24"/>
        </w:rPr>
        <w:footnoteReference w:id="11"/>
      </w:r>
    </w:p>
    <w:p w14:paraId="1AA7A12F"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 xml:space="preserve">Thus, the pan-European hecatomb of demographic cataclysms between 400-800 AD effectively razed the old </w:t>
      </w:r>
      <w:proofErr w:type="spellStart"/>
      <w:r w:rsidRPr="00BB198E">
        <w:rPr>
          <w:rFonts w:ascii="Times New Roman" w:hAnsi="Times New Roman" w:cs="Times New Roman"/>
          <w:sz w:val="24"/>
          <w:szCs w:val="24"/>
        </w:rPr>
        <w:t>economicerville</w:t>
      </w:r>
      <w:proofErr w:type="spellEnd"/>
      <w:r w:rsidRPr="00BB198E">
        <w:rPr>
          <w:rFonts w:ascii="Times New Roman" w:hAnsi="Times New Roman" w:cs="Times New Roman"/>
          <w:sz w:val="24"/>
          <w:szCs w:val="24"/>
        </w:rPr>
        <w:t xml:space="preserve"> holy grail congealed into the consolidated estates of grain producers and livestock breeders who could compel whatever </w:t>
      </w:r>
      <w:proofErr w:type="spellStart"/>
      <w:r w:rsidRPr="00BB198E">
        <w:rPr>
          <w:rFonts w:ascii="Times New Roman" w:hAnsi="Times New Roman" w:cs="Times New Roman"/>
          <w:sz w:val="24"/>
          <w:szCs w:val="24"/>
        </w:rPr>
        <w:t>shrivelled</w:t>
      </w:r>
      <w:proofErr w:type="spellEnd"/>
      <w:r w:rsidRPr="00BB198E">
        <w:rPr>
          <w:rFonts w:ascii="Times New Roman" w:hAnsi="Times New Roman" w:cs="Times New Roman"/>
          <w:sz w:val="24"/>
          <w:szCs w:val="24"/>
        </w:rPr>
        <w:t xml:space="preserve"> remnants of European peasant </w:t>
      </w:r>
      <w:proofErr w:type="spellStart"/>
      <w:r w:rsidRPr="00BB198E">
        <w:rPr>
          <w:rFonts w:ascii="Times New Roman" w:hAnsi="Times New Roman" w:cs="Times New Roman"/>
          <w:sz w:val="24"/>
          <w:szCs w:val="24"/>
        </w:rPr>
        <w:t>societiesrevivals</w:t>
      </w:r>
      <w:proofErr w:type="spellEnd"/>
      <w:r w:rsidRPr="00BB198E">
        <w:rPr>
          <w:rFonts w:ascii="Times New Roman" w:hAnsi="Times New Roman" w:cs="Times New Roman"/>
          <w:sz w:val="24"/>
          <w:szCs w:val="24"/>
        </w:rPr>
        <w:t xml:space="preserve"> resurrecting vibrant mercantile civilizations across the continent's far-flung realms. For a brief few centuries between the extinction of integrated Roman markets and the inexorable renaissance of surplus agricultural production prospering into textile milling, overland commercial revival and reintegrated township life by 1100 AD, feudal Europe regressed into a brutal parody of its prehistoric landed barbarisms - only overlaid with the iconic knighthoods, dynastic marcher estates and ritualized codes of honor nominally distinguishing its late incarnations from the primal vulgarities of spear-plunderers and slaving warlords.</w:t>
      </w:r>
    </w:p>
    <w:p w14:paraId="2BDF4C30" w14:textId="77777777" w:rsidR="00BB198E" w:rsidRPr="00BB198E" w:rsidRDefault="00BB198E" w:rsidP="00BB198E">
      <w:pPr>
        <w:spacing w:line="360" w:lineRule="auto"/>
        <w:jc w:val="both"/>
        <w:rPr>
          <w:rFonts w:ascii="Times New Roman" w:hAnsi="Times New Roman" w:cs="Times New Roman"/>
          <w:sz w:val="24"/>
          <w:szCs w:val="24"/>
        </w:rPr>
      </w:pPr>
      <w:proofErr w:type="gramStart"/>
      <w:r w:rsidRPr="00BB198E">
        <w:rPr>
          <w:rFonts w:ascii="Times New Roman" w:hAnsi="Times New Roman" w:cs="Times New Roman"/>
          <w:sz w:val="24"/>
          <w:szCs w:val="24"/>
        </w:rPr>
        <w:t>So</w:t>
      </w:r>
      <w:proofErr w:type="gramEnd"/>
      <w:r w:rsidRPr="00BB198E">
        <w:rPr>
          <w:rFonts w:ascii="Times New Roman" w:hAnsi="Times New Roman" w:cs="Times New Roman"/>
          <w:sz w:val="24"/>
          <w:szCs w:val="24"/>
        </w:rPr>
        <w:t xml:space="preserve"> in effect, the displacement of Roman imperial power, Germanic cultural traditions valorizing martial landed elites, the difficulties of long-distance trade, and a systemic labor shortage in the early medieval centuries all fueled the rise of the feudal manorial economy. From around 800-1100 AD, this land-based economic system defined by scattered rural settlements bound to the </w:t>
      </w:r>
      <w:r w:rsidRPr="00BB198E">
        <w:rPr>
          <w:rFonts w:ascii="Times New Roman" w:hAnsi="Times New Roman" w:cs="Times New Roman"/>
          <w:sz w:val="24"/>
          <w:szCs w:val="24"/>
        </w:rPr>
        <w:lastRenderedPageBreak/>
        <w:t>service of fortified manors persisted as the dominant socioeconomic model a</w:t>
      </w:r>
      <w:r w:rsidR="006D259A">
        <w:rPr>
          <w:rFonts w:ascii="Times New Roman" w:hAnsi="Times New Roman" w:cs="Times New Roman"/>
          <w:sz w:val="24"/>
          <w:szCs w:val="24"/>
        </w:rPr>
        <w:t>cross most of western Europe.</w:t>
      </w:r>
      <w:r w:rsidR="006D259A">
        <w:rPr>
          <w:rStyle w:val="FootnoteReference"/>
          <w:rFonts w:ascii="Times New Roman" w:hAnsi="Times New Roman" w:cs="Times New Roman"/>
          <w:sz w:val="24"/>
          <w:szCs w:val="24"/>
        </w:rPr>
        <w:footnoteReference w:id="12"/>
      </w:r>
    </w:p>
    <w:p w14:paraId="307A852F"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The Erosion of the Manor However, by the 12th century AD, the feudal manor system was beginning to undergo a series of profound transformations propelled by demographic recovery, the revival of commercial exchange, and a reassertion of sovereign monarchical power. A paradigm shift was well underway that would ultimately spell the obsolescence of land-based feudal economics by the 17th century.</w:t>
      </w:r>
    </w:p>
    <w:p w14:paraId="67543B4E"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Perhaps the most significant development was the steady expansion of population levels across western Europe beginning in the 11th century AD. This eliminated the acute labor scarcity that had originally incentivized binding rural peasants to aristocratic landed estates.[4] With a larger and more mobile peasant workforce ranging across the countryside by 1200 AD, manorial lords lost their stranglehold over agricultural labor and were forced to make more economic concessions to peasants who could now seek better terms of service from other landowners.</w:t>
      </w:r>
    </w:p>
    <w:p w14:paraId="25741A5F"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Concurrent with this population revival was the revival of urban commercial life and long-distance trade networks tying together diverse economic zones across the Mediterranean, North Sea, and Bal</w:t>
      </w:r>
      <w:r w:rsidR="006D259A">
        <w:rPr>
          <w:rFonts w:ascii="Times New Roman" w:hAnsi="Times New Roman" w:cs="Times New Roman"/>
          <w:sz w:val="24"/>
          <w:szCs w:val="24"/>
        </w:rPr>
        <w:t>tic regions.</w:t>
      </w:r>
      <w:r w:rsidR="006D259A">
        <w:rPr>
          <w:rStyle w:val="FootnoteReference"/>
          <w:rFonts w:ascii="Times New Roman" w:hAnsi="Times New Roman" w:cs="Times New Roman"/>
          <w:sz w:val="24"/>
          <w:szCs w:val="24"/>
        </w:rPr>
        <w:footnoteReference w:id="13"/>
      </w:r>
      <w:r w:rsidRPr="00BB198E">
        <w:rPr>
          <w:rFonts w:ascii="Times New Roman" w:hAnsi="Times New Roman" w:cs="Times New Roman"/>
          <w:sz w:val="24"/>
          <w:szCs w:val="24"/>
        </w:rPr>
        <w:t xml:space="preserve"> With the rise of mercantile wealth and commodity currency, land was no longer the overwhelmingly dominant source of riches as it had been throughout the Early Middle Ages. Now, success was being fueled by capital accumulation, manufacturing prowess, mercantile conniving, and maritime mastery as well as control of landed resources. The growth of a money economy incentivized greater commercial agriculture geared towards production for market rather than subsistence within the closed manorial c</w:t>
      </w:r>
      <w:r w:rsidR="006D259A">
        <w:rPr>
          <w:rFonts w:ascii="Times New Roman" w:hAnsi="Times New Roman" w:cs="Times New Roman"/>
          <w:sz w:val="24"/>
          <w:szCs w:val="24"/>
        </w:rPr>
        <w:t>onfines.</w:t>
      </w:r>
      <w:r w:rsidR="006D259A">
        <w:rPr>
          <w:rStyle w:val="FootnoteReference"/>
          <w:rFonts w:ascii="Times New Roman" w:hAnsi="Times New Roman" w:cs="Times New Roman"/>
          <w:sz w:val="24"/>
          <w:szCs w:val="24"/>
        </w:rPr>
        <w:footnoteReference w:id="14"/>
      </w:r>
    </w:p>
    <w:p w14:paraId="72246BBA" w14:textId="77777777" w:rsidR="00BB198E" w:rsidRPr="00BB198E" w:rsidRDefault="00BB198E" w:rsidP="00BB198E">
      <w:pPr>
        <w:spacing w:line="360" w:lineRule="auto"/>
        <w:jc w:val="both"/>
        <w:rPr>
          <w:rFonts w:ascii="Times New Roman" w:hAnsi="Times New Roman" w:cs="Times New Roman"/>
          <w:sz w:val="24"/>
          <w:szCs w:val="24"/>
        </w:rPr>
      </w:pPr>
      <w:r w:rsidRPr="00BB198E">
        <w:rPr>
          <w:rFonts w:ascii="Times New Roman" w:hAnsi="Times New Roman" w:cs="Times New Roman"/>
          <w:sz w:val="24"/>
          <w:szCs w:val="24"/>
        </w:rPr>
        <w:t xml:space="preserve">Additionally, the piecemeal reemergence of centralized national monarchies governing over large swaths of territory and population undercut the reasons for aristocracies to maintain autarkic manors designed for private defense and self-sufficiency. Sovereign states could now better coordinate collective security, judicial systems, and the flow of trade. Landed lords increasingly </w:t>
      </w:r>
      <w:r w:rsidRPr="00BB198E">
        <w:rPr>
          <w:rFonts w:ascii="Times New Roman" w:hAnsi="Times New Roman" w:cs="Times New Roman"/>
          <w:sz w:val="24"/>
          <w:szCs w:val="24"/>
        </w:rPr>
        <w:lastRenderedPageBreak/>
        <w:t>had incentives to participate and invest within a larger circle of royal and regional economic interests rather than solely around their private manors.</w:t>
      </w:r>
    </w:p>
    <w:p w14:paraId="7A45A7C4" w14:textId="77777777" w:rsidR="00BB198E" w:rsidRPr="00BB198E" w:rsidRDefault="00BB198E" w:rsidP="00BB198E">
      <w:pPr>
        <w:spacing w:line="360" w:lineRule="auto"/>
        <w:jc w:val="both"/>
        <w:rPr>
          <w:rFonts w:ascii="Times New Roman" w:hAnsi="Times New Roman" w:cs="Times New Roman"/>
          <w:sz w:val="24"/>
          <w:szCs w:val="24"/>
        </w:rPr>
      </w:pPr>
      <w:proofErr w:type="gramStart"/>
      <w:r w:rsidRPr="00BB198E">
        <w:rPr>
          <w:rFonts w:ascii="Times New Roman" w:hAnsi="Times New Roman" w:cs="Times New Roman"/>
          <w:sz w:val="24"/>
          <w:szCs w:val="24"/>
        </w:rPr>
        <w:t>So</w:t>
      </w:r>
      <w:proofErr w:type="gramEnd"/>
      <w:r w:rsidRPr="00BB198E">
        <w:rPr>
          <w:rFonts w:ascii="Times New Roman" w:hAnsi="Times New Roman" w:cs="Times New Roman"/>
          <w:sz w:val="24"/>
          <w:szCs w:val="24"/>
        </w:rPr>
        <w:t xml:space="preserve"> while no single transformative event upended feudal manorialism, by the 17th century the convergence of greater demographic growth, commercialization and capital formation, stronger centralized secular governments, and evolving aristocratic cultural values had eroded the foundations of this economic system based solely around isolated landed estates worked by bound peasant labor. The feudal manor system lingered longest in relatively peripheral and depopulated regions like northern Scotland or Brittany, and was preserved in fossilized form on aristocratic demesnes into the 19th century in parts o</w:t>
      </w:r>
      <w:r w:rsidR="006D259A">
        <w:rPr>
          <w:rFonts w:ascii="Times New Roman" w:hAnsi="Times New Roman" w:cs="Times New Roman"/>
          <w:sz w:val="24"/>
          <w:szCs w:val="24"/>
        </w:rPr>
        <w:t>f eastern Prussia and Russia.</w:t>
      </w:r>
      <w:r w:rsidR="00106AB3">
        <w:rPr>
          <w:rStyle w:val="FootnoteReference"/>
          <w:rFonts w:ascii="Times New Roman" w:hAnsi="Times New Roman" w:cs="Times New Roman"/>
          <w:sz w:val="24"/>
          <w:szCs w:val="24"/>
        </w:rPr>
        <w:footnoteReference w:id="15"/>
      </w:r>
      <w:r w:rsidRPr="00BB198E">
        <w:rPr>
          <w:rFonts w:ascii="Times New Roman" w:hAnsi="Times New Roman" w:cs="Times New Roman"/>
          <w:sz w:val="24"/>
          <w:szCs w:val="24"/>
        </w:rPr>
        <w:t xml:space="preserve"> But across most of western Europe by 1600, manorial economics had been transcended by agrarian capitalism, urbanization, centralized state institutions, and elite value systems valorizing international commerce and finance over hoarding landed wealth within a closed local domain. The feudal land-tenure system endured, but its economic foundations had been demolished.</w:t>
      </w:r>
      <w:r w:rsidR="00106AB3">
        <w:rPr>
          <w:rStyle w:val="FootnoteReference"/>
          <w:rFonts w:ascii="Times New Roman" w:hAnsi="Times New Roman" w:cs="Times New Roman"/>
          <w:sz w:val="24"/>
          <w:szCs w:val="24"/>
        </w:rPr>
        <w:footnoteReference w:id="16"/>
      </w:r>
    </w:p>
    <w:p w14:paraId="5D420B4E" w14:textId="43F2AB52" w:rsidR="006D259A" w:rsidRDefault="00BB198E" w:rsidP="002C0043">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w:t>
      </w:r>
      <w:r w:rsidRPr="00BB198E">
        <w:rPr>
          <w:rFonts w:ascii="Times New Roman" w:hAnsi="Times New Roman" w:cs="Times New Roman"/>
          <w:sz w:val="24"/>
          <w:szCs w:val="24"/>
        </w:rPr>
        <w:t xml:space="preserve">he feudal manorial economy was an economic system intricately adapted to the distinct political, demographic and cultural conditions pervading western Europe in the centuries between the collapse of Roman power and the renaissance of urbanized commerce and centralized royal authority over unified territories beginning around 1100 AD. The ubiquitous conflicts, depopulation crises and erosion of secular state infrastructures during this long medieval transitional period heavily incentivized the formation of fortified, inward-looking agrarian estates controlled by mounted aristocracies who could compel localized labor reserves into bonded service and convert agricultural surpluses into martial might for defending their hoarded landed wealth. While an interim phase born of tenuous historical circumstances, feudal manorialism's economic primacy across most of Europe utterly disintegrated once Renaissance-era forces of demographic recovery, revived long-range trade networks, sovereign territorial consolidation and new courtly value systems promoting cosmopolitanism firmly took root. Medieval feudalism's crystallization around proprietorial control of scattered rural estates may have reflected regressive traits of an anarchic dark age. </w:t>
      </w:r>
    </w:p>
    <w:p w14:paraId="5B41F7FF" w14:textId="77777777" w:rsidR="00A93A80" w:rsidRDefault="00A93A80" w:rsidP="00106AB3">
      <w:pPr>
        <w:spacing w:line="360" w:lineRule="auto"/>
        <w:jc w:val="center"/>
        <w:rPr>
          <w:rFonts w:ascii="Times New Roman" w:hAnsi="Times New Roman" w:cs="Times New Roman"/>
          <w:b/>
          <w:sz w:val="24"/>
          <w:szCs w:val="24"/>
        </w:rPr>
      </w:pPr>
    </w:p>
    <w:p w14:paraId="49B887FA" w14:textId="0790DB83" w:rsidR="006D259A" w:rsidRDefault="00106AB3" w:rsidP="00106AB3">
      <w:pPr>
        <w:spacing w:line="360" w:lineRule="auto"/>
        <w:jc w:val="center"/>
        <w:rPr>
          <w:rFonts w:ascii="Times New Roman" w:hAnsi="Times New Roman" w:cs="Times New Roman"/>
          <w:b/>
          <w:sz w:val="24"/>
          <w:szCs w:val="24"/>
        </w:rPr>
      </w:pPr>
      <w:r w:rsidRPr="00106AB3">
        <w:rPr>
          <w:rFonts w:ascii="Times New Roman" w:hAnsi="Times New Roman" w:cs="Times New Roman"/>
          <w:b/>
          <w:sz w:val="24"/>
          <w:szCs w:val="24"/>
        </w:rPr>
        <w:t>BIBLIOGRAPHY</w:t>
      </w:r>
    </w:p>
    <w:p w14:paraId="47455717" w14:textId="77777777" w:rsidR="00106AB3" w:rsidRPr="00106AB3" w:rsidRDefault="00106AB3" w:rsidP="00106AB3">
      <w:pPr>
        <w:spacing w:line="360" w:lineRule="auto"/>
        <w:rPr>
          <w:rFonts w:ascii="Times New Roman" w:hAnsi="Times New Roman" w:cs="Times New Roman"/>
          <w:sz w:val="24"/>
          <w:szCs w:val="24"/>
        </w:rPr>
      </w:pPr>
      <w:r w:rsidRPr="00106AB3">
        <w:rPr>
          <w:rFonts w:ascii="Times New Roman" w:hAnsi="Times New Roman" w:cs="Times New Roman"/>
          <w:sz w:val="24"/>
          <w:szCs w:val="24"/>
        </w:rPr>
        <w:t xml:space="preserve">Abel, Wilhelm. </w:t>
      </w:r>
      <w:r w:rsidRPr="00321C6C">
        <w:rPr>
          <w:rFonts w:ascii="Times New Roman" w:hAnsi="Times New Roman" w:cs="Times New Roman"/>
          <w:i/>
          <w:iCs/>
          <w:sz w:val="24"/>
          <w:szCs w:val="24"/>
        </w:rPr>
        <w:t>Agricultural Fluctuations in Europe</w:t>
      </w:r>
      <w:r w:rsidRPr="00106AB3">
        <w:rPr>
          <w:rFonts w:ascii="Times New Roman" w:hAnsi="Times New Roman" w:cs="Times New Roman"/>
          <w:sz w:val="24"/>
          <w:szCs w:val="24"/>
        </w:rPr>
        <w:t>. New York: St. Martin's Press, 1980.</w:t>
      </w:r>
    </w:p>
    <w:p w14:paraId="4A2ADBF4" w14:textId="77777777" w:rsidR="00106AB3" w:rsidRPr="00106AB3" w:rsidRDefault="00106AB3" w:rsidP="00106AB3">
      <w:pPr>
        <w:spacing w:line="360" w:lineRule="auto"/>
        <w:rPr>
          <w:rFonts w:ascii="Times New Roman" w:hAnsi="Times New Roman" w:cs="Times New Roman"/>
          <w:sz w:val="24"/>
          <w:szCs w:val="24"/>
        </w:rPr>
      </w:pPr>
      <w:r w:rsidRPr="00106AB3">
        <w:rPr>
          <w:rFonts w:ascii="Times New Roman" w:hAnsi="Times New Roman" w:cs="Times New Roman"/>
          <w:sz w:val="24"/>
          <w:szCs w:val="24"/>
        </w:rPr>
        <w:t xml:space="preserve">Bloch, Marc. </w:t>
      </w:r>
      <w:r w:rsidRPr="00321C6C">
        <w:rPr>
          <w:rFonts w:ascii="Times New Roman" w:hAnsi="Times New Roman" w:cs="Times New Roman"/>
          <w:i/>
          <w:iCs/>
          <w:sz w:val="24"/>
          <w:szCs w:val="24"/>
        </w:rPr>
        <w:t>Feudal Society</w:t>
      </w:r>
      <w:r w:rsidRPr="00106AB3">
        <w:rPr>
          <w:rFonts w:ascii="Times New Roman" w:hAnsi="Times New Roman" w:cs="Times New Roman"/>
          <w:sz w:val="24"/>
          <w:szCs w:val="24"/>
        </w:rPr>
        <w:t>. Chicago: University of Chicago Press, 1964.</w:t>
      </w:r>
    </w:p>
    <w:p w14:paraId="69450E3C" w14:textId="77777777" w:rsidR="00106AB3" w:rsidRPr="00106AB3" w:rsidRDefault="00106AB3" w:rsidP="00106AB3">
      <w:pPr>
        <w:spacing w:line="360" w:lineRule="auto"/>
        <w:rPr>
          <w:rFonts w:ascii="Times New Roman" w:hAnsi="Times New Roman" w:cs="Times New Roman"/>
          <w:sz w:val="24"/>
          <w:szCs w:val="24"/>
        </w:rPr>
      </w:pPr>
      <w:r w:rsidRPr="00106AB3">
        <w:rPr>
          <w:rFonts w:ascii="Times New Roman" w:hAnsi="Times New Roman" w:cs="Times New Roman"/>
          <w:sz w:val="24"/>
          <w:szCs w:val="24"/>
        </w:rPr>
        <w:t>Blum, Jerome</w:t>
      </w:r>
      <w:r w:rsidRPr="00ED2410">
        <w:rPr>
          <w:rFonts w:ascii="Times New Roman" w:hAnsi="Times New Roman" w:cs="Times New Roman"/>
          <w:i/>
          <w:iCs/>
          <w:sz w:val="24"/>
          <w:szCs w:val="24"/>
        </w:rPr>
        <w:t>. Lord and Peasant in Russia</w:t>
      </w:r>
      <w:r w:rsidRPr="00106AB3">
        <w:rPr>
          <w:rFonts w:ascii="Times New Roman" w:hAnsi="Times New Roman" w:cs="Times New Roman"/>
          <w:sz w:val="24"/>
          <w:szCs w:val="24"/>
        </w:rPr>
        <w:t>. Princeton: Princeton University Press, 1961.</w:t>
      </w:r>
    </w:p>
    <w:p w14:paraId="193FF189" w14:textId="77777777" w:rsidR="00106AB3" w:rsidRPr="00106AB3" w:rsidRDefault="00106AB3" w:rsidP="00106AB3">
      <w:pPr>
        <w:spacing w:line="360" w:lineRule="auto"/>
        <w:rPr>
          <w:rFonts w:ascii="Times New Roman" w:hAnsi="Times New Roman" w:cs="Times New Roman"/>
          <w:sz w:val="24"/>
          <w:szCs w:val="24"/>
        </w:rPr>
      </w:pPr>
      <w:r w:rsidRPr="00106AB3">
        <w:rPr>
          <w:rFonts w:ascii="Times New Roman" w:hAnsi="Times New Roman" w:cs="Times New Roman"/>
          <w:sz w:val="24"/>
          <w:szCs w:val="24"/>
        </w:rPr>
        <w:t>Herlihy, David</w:t>
      </w:r>
      <w:r w:rsidRPr="008A04E9">
        <w:rPr>
          <w:rFonts w:ascii="Times New Roman" w:hAnsi="Times New Roman" w:cs="Times New Roman"/>
          <w:i/>
          <w:iCs/>
          <w:sz w:val="24"/>
          <w:szCs w:val="24"/>
        </w:rPr>
        <w:t>. "Life on the Manor."</w:t>
      </w:r>
      <w:r w:rsidRPr="00106AB3">
        <w:rPr>
          <w:rFonts w:ascii="Times New Roman" w:hAnsi="Times New Roman" w:cs="Times New Roman"/>
          <w:sz w:val="24"/>
          <w:szCs w:val="24"/>
        </w:rPr>
        <w:t xml:space="preserve"> In The Countryside of Medieval England, edited by Grenville Astill and Annie Grant, 87-115. Oxford: Blackwell, 1988.</w:t>
      </w:r>
    </w:p>
    <w:p w14:paraId="4521D129" w14:textId="77777777" w:rsidR="00106AB3" w:rsidRPr="00106AB3" w:rsidRDefault="00106AB3" w:rsidP="00106AB3">
      <w:pPr>
        <w:spacing w:line="360" w:lineRule="auto"/>
        <w:rPr>
          <w:rFonts w:ascii="Times New Roman" w:hAnsi="Times New Roman" w:cs="Times New Roman"/>
          <w:sz w:val="24"/>
          <w:szCs w:val="24"/>
        </w:rPr>
      </w:pPr>
      <w:r w:rsidRPr="00106AB3">
        <w:rPr>
          <w:rFonts w:ascii="Times New Roman" w:hAnsi="Times New Roman" w:cs="Times New Roman"/>
          <w:sz w:val="24"/>
          <w:szCs w:val="24"/>
        </w:rPr>
        <w:t xml:space="preserve">Huizinga, Johan. </w:t>
      </w:r>
      <w:r w:rsidRPr="008A04E9">
        <w:rPr>
          <w:rFonts w:ascii="Times New Roman" w:hAnsi="Times New Roman" w:cs="Times New Roman"/>
          <w:i/>
          <w:iCs/>
          <w:sz w:val="24"/>
          <w:szCs w:val="24"/>
        </w:rPr>
        <w:t>The Waning of the Middle Ages</w:t>
      </w:r>
      <w:r w:rsidRPr="00106AB3">
        <w:rPr>
          <w:rFonts w:ascii="Times New Roman" w:hAnsi="Times New Roman" w:cs="Times New Roman"/>
          <w:sz w:val="24"/>
          <w:szCs w:val="24"/>
        </w:rPr>
        <w:t>. London: Penguin, 1976.</w:t>
      </w:r>
    </w:p>
    <w:p w14:paraId="3D61FB2B" w14:textId="77777777" w:rsidR="00106AB3" w:rsidRPr="00106AB3" w:rsidRDefault="00106AB3" w:rsidP="00106AB3">
      <w:pPr>
        <w:spacing w:line="360" w:lineRule="auto"/>
        <w:rPr>
          <w:rFonts w:ascii="Times New Roman" w:hAnsi="Times New Roman" w:cs="Times New Roman"/>
          <w:sz w:val="24"/>
          <w:szCs w:val="24"/>
        </w:rPr>
      </w:pPr>
      <w:r w:rsidRPr="00106AB3">
        <w:rPr>
          <w:rFonts w:ascii="Times New Roman" w:hAnsi="Times New Roman" w:cs="Times New Roman"/>
          <w:sz w:val="24"/>
          <w:szCs w:val="24"/>
        </w:rPr>
        <w:t xml:space="preserve">Lopez, Robert S. </w:t>
      </w:r>
      <w:r w:rsidRPr="008A04E9">
        <w:rPr>
          <w:rFonts w:ascii="Times New Roman" w:hAnsi="Times New Roman" w:cs="Times New Roman"/>
          <w:i/>
          <w:iCs/>
          <w:sz w:val="24"/>
          <w:szCs w:val="24"/>
        </w:rPr>
        <w:t>The Commercial Revolution of the Middle Ages.</w:t>
      </w:r>
      <w:r w:rsidRPr="00106AB3">
        <w:rPr>
          <w:rFonts w:ascii="Times New Roman" w:hAnsi="Times New Roman" w:cs="Times New Roman"/>
          <w:sz w:val="24"/>
          <w:szCs w:val="24"/>
        </w:rPr>
        <w:t xml:space="preserve"> Cambridge: Cambridge University Press, 1976.</w:t>
      </w:r>
    </w:p>
    <w:p w14:paraId="72ED8253" w14:textId="77777777" w:rsidR="00106AB3" w:rsidRPr="00106AB3" w:rsidRDefault="00106AB3" w:rsidP="00106AB3">
      <w:pPr>
        <w:spacing w:line="360" w:lineRule="auto"/>
        <w:rPr>
          <w:rFonts w:ascii="Times New Roman" w:hAnsi="Times New Roman" w:cs="Times New Roman"/>
          <w:sz w:val="24"/>
          <w:szCs w:val="24"/>
        </w:rPr>
      </w:pPr>
      <w:r w:rsidRPr="00106AB3">
        <w:rPr>
          <w:rFonts w:ascii="Times New Roman" w:hAnsi="Times New Roman" w:cs="Times New Roman"/>
          <w:sz w:val="24"/>
          <w:szCs w:val="24"/>
        </w:rPr>
        <w:t>Postan, M.M. "</w:t>
      </w:r>
      <w:r w:rsidRPr="001518BB">
        <w:rPr>
          <w:rFonts w:ascii="Times New Roman" w:hAnsi="Times New Roman" w:cs="Times New Roman"/>
          <w:i/>
          <w:iCs/>
          <w:sz w:val="24"/>
          <w:szCs w:val="24"/>
        </w:rPr>
        <w:t>The Trade of Medieval Europe: The North." In Cambridge Economic History of Europe,</w:t>
      </w:r>
      <w:r w:rsidRPr="00106AB3">
        <w:rPr>
          <w:rFonts w:ascii="Times New Roman" w:hAnsi="Times New Roman" w:cs="Times New Roman"/>
          <w:sz w:val="24"/>
          <w:szCs w:val="24"/>
        </w:rPr>
        <w:t xml:space="preserve"> Vol. 2, edited by M.M. Postan &amp; E. Miller, 168-305. Cambridge: Cambridge University Press, 1987.</w:t>
      </w:r>
    </w:p>
    <w:p w14:paraId="1CADA4F6" w14:textId="77777777" w:rsidR="00106AB3" w:rsidRPr="00106AB3" w:rsidRDefault="00106AB3" w:rsidP="00106AB3">
      <w:pPr>
        <w:spacing w:line="360" w:lineRule="auto"/>
        <w:rPr>
          <w:rFonts w:ascii="Times New Roman" w:hAnsi="Times New Roman" w:cs="Times New Roman"/>
          <w:sz w:val="24"/>
          <w:szCs w:val="24"/>
        </w:rPr>
      </w:pPr>
      <w:r w:rsidRPr="00106AB3">
        <w:rPr>
          <w:rFonts w:ascii="Times New Roman" w:hAnsi="Times New Roman" w:cs="Times New Roman"/>
          <w:sz w:val="24"/>
          <w:szCs w:val="24"/>
        </w:rPr>
        <w:t xml:space="preserve">Strayer, Joseph R. </w:t>
      </w:r>
      <w:r w:rsidRPr="008A04E9">
        <w:rPr>
          <w:rFonts w:ascii="Times New Roman" w:hAnsi="Times New Roman" w:cs="Times New Roman"/>
          <w:i/>
          <w:iCs/>
          <w:sz w:val="24"/>
          <w:szCs w:val="24"/>
        </w:rPr>
        <w:t>On the Medieval Origins of the Modern State</w:t>
      </w:r>
      <w:r w:rsidRPr="00106AB3">
        <w:rPr>
          <w:rFonts w:ascii="Times New Roman" w:hAnsi="Times New Roman" w:cs="Times New Roman"/>
          <w:sz w:val="24"/>
          <w:szCs w:val="24"/>
        </w:rPr>
        <w:t>. Princeton: Princeton University Press, 1970.</w:t>
      </w:r>
    </w:p>
    <w:p w14:paraId="4C9E401E" w14:textId="1A21A9C6" w:rsidR="00106AB3" w:rsidRPr="00106AB3" w:rsidRDefault="00106AB3" w:rsidP="00106AB3">
      <w:pPr>
        <w:spacing w:line="360" w:lineRule="auto"/>
        <w:rPr>
          <w:rFonts w:ascii="Times New Roman" w:hAnsi="Times New Roman" w:cs="Times New Roman"/>
          <w:sz w:val="24"/>
          <w:szCs w:val="24"/>
        </w:rPr>
      </w:pPr>
    </w:p>
    <w:sectPr w:rsidR="00106AB3" w:rsidRPr="00106A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C55E0" w14:textId="77777777" w:rsidR="00927A5C" w:rsidRDefault="00927A5C" w:rsidP="006D259A">
      <w:pPr>
        <w:spacing w:after="0" w:line="240" w:lineRule="auto"/>
      </w:pPr>
      <w:r>
        <w:separator/>
      </w:r>
    </w:p>
  </w:endnote>
  <w:endnote w:type="continuationSeparator" w:id="0">
    <w:p w14:paraId="145101B2" w14:textId="77777777" w:rsidR="00927A5C" w:rsidRDefault="00927A5C" w:rsidP="006D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05E39" w14:textId="77777777" w:rsidR="00927A5C" w:rsidRDefault="00927A5C" w:rsidP="006D259A">
      <w:pPr>
        <w:spacing w:after="0" w:line="240" w:lineRule="auto"/>
      </w:pPr>
      <w:r>
        <w:separator/>
      </w:r>
    </w:p>
  </w:footnote>
  <w:footnote w:type="continuationSeparator" w:id="0">
    <w:p w14:paraId="34123427" w14:textId="77777777" w:rsidR="00927A5C" w:rsidRDefault="00927A5C" w:rsidP="006D259A">
      <w:pPr>
        <w:spacing w:after="0" w:line="240" w:lineRule="auto"/>
      </w:pPr>
      <w:r>
        <w:continuationSeparator/>
      </w:r>
    </w:p>
  </w:footnote>
  <w:footnote w:id="1">
    <w:p w14:paraId="314439E1" w14:textId="4AA715C2" w:rsidR="006D259A" w:rsidRDefault="006D259A">
      <w:pPr>
        <w:pStyle w:val="FootnoteText"/>
      </w:pPr>
      <w:r>
        <w:rPr>
          <w:rStyle w:val="FootnoteReference"/>
        </w:rPr>
        <w:footnoteRef/>
      </w:r>
      <w:r>
        <w:t xml:space="preserve"> </w:t>
      </w:r>
      <w:r w:rsidRPr="006D259A">
        <w:t xml:space="preserve">Marc Bloch, </w:t>
      </w:r>
      <w:r w:rsidRPr="0017428D">
        <w:rPr>
          <w:i/>
          <w:iCs/>
        </w:rPr>
        <w:t>Feudal Society</w:t>
      </w:r>
      <w:r w:rsidRPr="006D259A">
        <w:t xml:space="preserve"> (Chicago: University of Chicago Press, 1964),</w:t>
      </w:r>
      <w:r w:rsidR="0017428D">
        <w:t xml:space="preserve"> pp.</w:t>
      </w:r>
      <w:r w:rsidRPr="006D259A">
        <w:t xml:space="preserve"> 223-258.</w:t>
      </w:r>
    </w:p>
  </w:footnote>
  <w:footnote w:id="2">
    <w:p w14:paraId="216D40A9" w14:textId="778DA1C5" w:rsidR="006D259A" w:rsidRDefault="006D259A">
      <w:pPr>
        <w:pStyle w:val="FootnoteText"/>
      </w:pPr>
      <w:r>
        <w:rPr>
          <w:rStyle w:val="FootnoteReference"/>
        </w:rPr>
        <w:footnoteRef/>
      </w:r>
      <w:r>
        <w:t xml:space="preserve"> </w:t>
      </w:r>
      <w:r w:rsidRPr="006D259A">
        <w:t xml:space="preserve">Bloch, </w:t>
      </w:r>
      <w:r w:rsidRPr="000E1C6F">
        <w:rPr>
          <w:i/>
          <w:iCs/>
        </w:rPr>
        <w:t>Feudal Society</w:t>
      </w:r>
      <w:r w:rsidRPr="006D259A">
        <w:t>,</w:t>
      </w:r>
      <w:r w:rsidR="000E1C6F">
        <w:t xml:space="preserve"> pp.</w:t>
      </w:r>
      <w:r w:rsidRPr="006D259A">
        <w:t xml:space="preserve"> 223-258.</w:t>
      </w:r>
    </w:p>
  </w:footnote>
  <w:footnote w:id="3">
    <w:p w14:paraId="775657A7" w14:textId="41AE5D5A" w:rsidR="006D259A" w:rsidRDefault="006D259A">
      <w:pPr>
        <w:pStyle w:val="FootnoteText"/>
      </w:pPr>
      <w:r>
        <w:rPr>
          <w:rStyle w:val="FootnoteReference"/>
        </w:rPr>
        <w:footnoteRef/>
      </w:r>
      <w:r>
        <w:t xml:space="preserve"> </w:t>
      </w:r>
      <w:r w:rsidRPr="006D259A">
        <w:t>Joseph R. Strayer</w:t>
      </w:r>
      <w:r w:rsidRPr="00485C70">
        <w:rPr>
          <w:i/>
          <w:iCs/>
        </w:rPr>
        <w:t>, On the Medieval Origins of the Modern State</w:t>
      </w:r>
      <w:r w:rsidRPr="006D259A">
        <w:t xml:space="preserve"> (Princeton: Princeton University Press, 1970), </w:t>
      </w:r>
      <w:r w:rsidR="00485C70">
        <w:t xml:space="preserve">pp. </w:t>
      </w:r>
      <w:r w:rsidRPr="006D259A">
        <w:t>12-24.</w:t>
      </w:r>
    </w:p>
  </w:footnote>
  <w:footnote w:id="4">
    <w:p w14:paraId="466D8DB7" w14:textId="6C171A2A" w:rsidR="006D259A" w:rsidRDefault="006D259A">
      <w:pPr>
        <w:pStyle w:val="FootnoteText"/>
      </w:pPr>
      <w:r>
        <w:rPr>
          <w:rStyle w:val="FootnoteReference"/>
        </w:rPr>
        <w:footnoteRef/>
      </w:r>
      <w:r>
        <w:t xml:space="preserve"> </w:t>
      </w:r>
      <w:r w:rsidRPr="006D259A">
        <w:t xml:space="preserve">Strayer, </w:t>
      </w:r>
      <w:r w:rsidRPr="00547C65">
        <w:rPr>
          <w:i/>
          <w:iCs/>
        </w:rPr>
        <w:t>On the Medieval Origins of the Modern State</w:t>
      </w:r>
      <w:r w:rsidRPr="006D259A">
        <w:t>,</w:t>
      </w:r>
      <w:r w:rsidR="00FA432A">
        <w:t xml:space="preserve"> p</w:t>
      </w:r>
      <w:r w:rsidR="00833E82">
        <w:t>. 29</w:t>
      </w:r>
    </w:p>
  </w:footnote>
  <w:footnote w:id="5">
    <w:p w14:paraId="73E27C9F" w14:textId="77777777" w:rsidR="006D259A" w:rsidRDefault="006D259A">
      <w:pPr>
        <w:pStyle w:val="FootnoteText"/>
      </w:pPr>
      <w:r>
        <w:rPr>
          <w:rStyle w:val="FootnoteReference"/>
        </w:rPr>
        <w:footnoteRef/>
      </w:r>
      <w:r>
        <w:t xml:space="preserve"> ibid</w:t>
      </w:r>
    </w:p>
  </w:footnote>
  <w:footnote w:id="6">
    <w:p w14:paraId="52D3C31E" w14:textId="75066CBD" w:rsidR="006D259A" w:rsidRDefault="006D259A">
      <w:pPr>
        <w:pStyle w:val="FootnoteText"/>
      </w:pPr>
      <w:r>
        <w:rPr>
          <w:rStyle w:val="FootnoteReference"/>
        </w:rPr>
        <w:footnoteRef/>
      </w:r>
      <w:r>
        <w:t xml:space="preserve"> </w:t>
      </w:r>
      <w:r w:rsidRPr="006D259A">
        <w:t xml:space="preserve">David Herlihy, </w:t>
      </w:r>
      <w:r w:rsidRPr="00134E15">
        <w:rPr>
          <w:i/>
          <w:iCs/>
        </w:rPr>
        <w:t>"Life on the Manor," in The Countryside of Medieval England, ed. Grenville Astill and Annie Grant</w:t>
      </w:r>
      <w:r w:rsidRPr="006D259A">
        <w:t xml:space="preserve"> (Oxford: Blackwell, 1988),</w:t>
      </w:r>
      <w:r w:rsidR="00BF4464">
        <w:t xml:space="preserve"> pp. </w:t>
      </w:r>
      <w:r w:rsidRPr="006D259A">
        <w:t>87-115.</w:t>
      </w:r>
    </w:p>
  </w:footnote>
  <w:footnote w:id="7">
    <w:p w14:paraId="20F12A58" w14:textId="0BDF50E0" w:rsidR="006D259A" w:rsidRDefault="006D259A">
      <w:pPr>
        <w:pStyle w:val="FootnoteText"/>
      </w:pPr>
      <w:r>
        <w:rPr>
          <w:rStyle w:val="FootnoteReference"/>
        </w:rPr>
        <w:footnoteRef/>
      </w:r>
      <w:r w:rsidR="00E16F41">
        <w:t xml:space="preserve"> </w:t>
      </w:r>
      <w:r w:rsidRPr="006D259A">
        <w:t xml:space="preserve">Herlihy, </w:t>
      </w:r>
      <w:r w:rsidRPr="00E16F41">
        <w:rPr>
          <w:i/>
          <w:iCs/>
        </w:rPr>
        <w:t>"Life on the Manor," in The Countryside of Medieval England, ed</w:t>
      </w:r>
      <w:r w:rsidRPr="006D259A">
        <w:t xml:space="preserve">. </w:t>
      </w:r>
      <w:r w:rsidR="00DA619D">
        <w:t xml:space="preserve">pp. </w:t>
      </w:r>
      <w:r w:rsidRPr="006D259A">
        <w:t>8</w:t>
      </w:r>
      <w:r w:rsidR="00DA619D">
        <w:t>9</w:t>
      </w:r>
      <w:r w:rsidRPr="006D259A">
        <w:t>-11</w:t>
      </w:r>
      <w:r w:rsidR="00DA619D">
        <w:t>2</w:t>
      </w:r>
      <w:r w:rsidRPr="006D259A">
        <w:t>.</w:t>
      </w:r>
    </w:p>
  </w:footnote>
  <w:footnote w:id="8">
    <w:p w14:paraId="63424494" w14:textId="77777777" w:rsidR="001C7251" w:rsidRDefault="006D259A">
      <w:pPr>
        <w:pStyle w:val="FootnoteText"/>
      </w:pPr>
      <w:r>
        <w:rPr>
          <w:rStyle w:val="FootnoteReference"/>
        </w:rPr>
        <w:footnoteRef/>
      </w:r>
      <w:r>
        <w:t xml:space="preserve"> </w:t>
      </w:r>
      <w:r w:rsidRPr="006D259A">
        <w:t xml:space="preserve">Wilhelm Abel, </w:t>
      </w:r>
      <w:r w:rsidRPr="00BF4464">
        <w:rPr>
          <w:i/>
          <w:iCs/>
        </w:rPr>
        <w:t>Agricultural Fluctuations in Europe</w:t>
      </w:r>
      <w:r w:rsidRPr="006D259A">
        <w:t xml:space="preserve"> (New York: St. Martin's Press, 1980), </w:t>
      </w:r>
      <w:r w:rsidR="00BF4464">
        <w:t xml:space="preserve">pp. </w:t>
      </w:r>
    </w:p>
    <w:p w14:paraId="5EF240A4" w14:textId="69C5C5CD" w:rsidR="006D259A" w:rsidRDefault="006D259A">
      <w:pPr>
        <w:pStyle w:val="FootnoteText"/>
      </w:pPr>
      <w:r w:rsidRPr="006D259A">
        <w:t>95-124.</w:t>
      </w:r>
    </w:p>
  </w:footnote>
  <w:footnote w:id="9">
    <w:p w14:paraId="0EA6C925" w14:textId="1B0D2C08" w:rsidR="006D259A" w:rsidRDefault="006D259A">
      <w:pPr>
        <w:pStyle w:val="FootnoteText"/>
      </w:pPr>
      <w:r>
        <w:rPr>
          <w:rStyle w:val="FootnoteReference"/>
        </w:rPr>
        <w:footnoteRef/>
      </w:r>
      <w:r w:rsidR="008C500F">
        <w:t xml:space="preserve"> </w:t>
      </w:r>
      <w:r w:rsidRPr="006D259A">
        <w:t>Abel</w:t>
      </w:r>
      <w:r w:rsidRPr="00D72AE4">
        <w:t xml:space="preserve">, </w:t>
      </w:r>
      <w:r w:rsidRPr="00D72AE4">
        <w:rPr>
          <w:i/>
          <w:iCs/>
        </w:rPr>
        <w:t>Agricultural Fluctuations in Europe</w:t>
      </w:r>
      <w:r w:rsidRPr="006D259A">
        <w:t xml:space="preserve">, </w:t>
      </w:r>
      <w:r w:rsidR="008C500F">
        <w:t>p</w:t>
      </w:r>
      <w:r w:rsidR="00F735DF">
        <w:t>p</w:t>
      </w:r>
      <w:r w:rsidR="008C500F">
        <w:t>. 125-128</w:t>
      </w:r>
      <w:r w:rsidRPr="006D259A">
        <w:t>.</w:t>
      </w:r>
    </w:p>
  </w:footnote>
  <w:footnote w:id="10">
    <w:p w14:paraId="2F7F43B2" w14:textId="64243FF3" w:rsidR="006D259A" w:rsidRDefault="006D259A">
      <w:pPr>
        <w:pStyle w:val="FootnoteText"/>
      </w:pPr>
      <w:r>
        <w:rPr>
          <w:rStyle w:val="FootnoteReference"/>
        </w:rPr>
        <w:footnoteRef/>
      </w:r>
      <w:r>
        <w:t xml:space="preserve"> </w:t>
      </w:r>
      <w:r w:rsidRPr="006D259A">
        <w:t xml:space="preserve">Herlihy, </w:t>
      </w:r>
      <w:r w:rsidRPr="000A133F">
        <w:rPr>
          <w:i/>
          <w:iCs/>
        </w:rPr>
        <w:t>"Life on the Manor," in The Countryside of Medieval England</w:t>
      </w:r>
      <w:r w:rsidRPr="006D259A">
        <w:t>,</w:t>
      </w:r>
      <w:r w:rsidR="00752CAC">
        <w:t xml:space="preserve"> </w:t>
      </w:r>
      <w:r w:rsidR="00606A73">
        <w:t xml:space="preserve">ed. </w:t>
      </w:r>
      <w:r w:rsidR="00752CAC">
        <w:t xml:space="preserve">pp. </w:t>
      </w:r>
      <w:r w:rsidRPr="006D259A">
        <w:t>87-115.</w:t>
      </w:r>
    </w:p>
  </w:footnote>
  <w:footnote w:id="11">
    <w:p w14:paraId="4054C06E" w14:textId="1D81FC4E" w:rsidR="006D259A" w:rsidRDefault="006D259A">
      <w:pPr>
        <w:pStyle w:val="FootnoteText"/>
      </w:pPr>
      <w:r>
        <w:rPr>
          <w:rStyle w:val="FootnoteReference"/>
        </w:rPr>
        <w:footnoteRef/>
      </w:r>
      <w:r>
        <w:t xml:space="preserve"> </w:t>
      </w:r>
      <w:r w:rsidRPr="006D259A">
        <w:t xml:space="preserve">David Herlihy, </w:t>
      </w:r>
      <w:r w:rsidRPr="00A7213D">
        <w:rPr>
          <w:i/>
          <w:iCs/>
        </w:rPr>
        <w:t>"Life on the Manor," in The Countryside of Medieval England, ed. Grenville Astill and Annie Grant</w:t>
      </w:r>
      <w:r w:rsidRPr="006D259A">
        <w:t xml:space="preserve"> (Oxford: Blackwell, 1988</w:t>
      </w:r>
      <w:proofErr w:type="gramStart"/>
      <w:r w:rsidRPr="006D259A">
        <w:t xml:space="preserve">), </w:t>
      </w:r>
      <w:r w:rsidR="00DA23BE">
        <w:t xml:space="preserve"> pp.</w:t>
      </w:r>
      <w:proofErr w:type="gramEnd"/>
      <w:r w:rsidR="00DA23BE">
        <w:t xml:space="preserve"> </w:t>
      </w:r>
      <w:r w:rsidRPr="006D259A">
        <w:t>87-115.</w:t>
      </w:r>
    </w:p>
  </w:footnote>
  <w:footnote w:id="12">
    <w:p w14:paraId="0E6721B8" w14:textId="77777777" w:rsidR="006D259A" w:rsidRDefault="006D259A">
      <w:pPr>
        <w:pStyle w:val="FootnoteText"/>
      </w:pPr>
      <w:r>
        <w:rPr>
          <w:rStyle w:val="FootnoteReference"/>
        </w:rPr>
        <w:footnoteRef/>
      </w:r>
      <w:r>
        <w:t xml:space="preserve"> ibid</w:t>
      </w:r>
    </w:p>
  </w:footnote>
  <w:footnote w:id="13">
    <w:p w14:paraId="25853695" w14:textId="75E915D9" w:rsidR="006D259A" w:rsidRDefault="006D259A">
      <w:pPr>
        <w:pStyle w:val="FootnoteText"/>
      </w:pPr>
      <w:r>
        <w:rPr>
          <w:rStyle w:val="FootnoteReference"/>
        </w:rPr>
        <w:footnoteRef/>
      </w:r>
      <w:r>
        <w:t xml:space="preserve"> </w:t>
      </w:r>
      <w:r w:rsidR="006B2C26">
        <w:t>Robert</w:t>
      </w:r>
      <w:r w:rsidRPr="006D259A">
        <w:t xml:space="preserve"> </w:t>
      </w:r>
      <w:r w:rsidR="006B2C26">
        <w:t xml:space="preserve">S. </w:t>
      </w:r>
      <w:r w:rsidRPr="006D259A">
        <w:t xml:space="preserve">Lopez, </w:t>
      </w:r>
      <w:r w:rsidRPr="004D2A49">
        <w:rPr>
          <w:i/>
          <w:iCs/>
        </w:rPr>
        <w:t>The Commercial Revolution of the Middle Ages</w:t>
      </w:r>
      <w:r w:rsidRPr="006D259A">
        <w:t xml:space="preserve"> (Cambridge: Cambridge University Press, 1976)</w:t>
      </w:r>
      <w:r w:rsidR="004D2A49">
        <w:t>,</w:t>
      </w:r>
      <w:r w:rsidR="00015E55">
        <w:t xml:space="preserve"> pp. 45-49</w:t>
      </w:r>
    </w:p>
  </w:footnote>
  <w:footnote w:id="14">
    <w:p w14:paraId="028BC873" w14:textId="005AF4EB" w:rsidR="006D259A" w:rsidRDefault="006D259A">
      <w:pPr>
        <w:pStyle w:val="FootnoteText"/>
      </w:pPr>
      <w:r>
        <w:rPr>
          <w:rStyle w:val="FootnoteReference"/>
        </w:rPr>
        <w:footnoteRef/>
      </w:r>
      <w:r>
        <w:t xml:space="preserve"> </w:t>
      </w:r>
      <w:r w:rsidRPr="006D259A">
        <w:t xml:space="preserve">Lopez, </w:t>
      </w:r>
      <w:r w:rsidRPr="001649A2">
        <w:rPr>
          <w:i/>
          <w:iCs/>
        </w:rPr>
        <w:t>The Commercial Revolution of the Middle Ages</w:t>
      </w:r>
      <w:r w:rsidR="00015E55">
        <w:t xml:space="preserve">, P. </w:t>
      </w:r>
      <w:r w:rsidR="009A6348">
        <w:t>59</w:t>
      </w:r>
    </w:p>
  </w:footnote>
  <w:footnote w:id="15">
    <w:p w14:paraId="4795A0D8" w14:textId="612B8773" w:rsidR="00106AB3" w:rsidRDefault="00106AB3">
      <w:pPr>
        <w:pStyle w:val="FootnoteText"/>
      </w:pPr>
      <w:r>
        <w:rPr>
          <w:rStyle w:val="FootnoteReference"/>
        </w:rPr>
        <w:footnoteRef/>
      </w:r>
      <w:r>
        <w:t xml:space="preserve"> </w:t>
      </w:r>
      <w:r w:rsidRPr="00106AB3">
        <w:t xml:space="preserve">Jerome </w:t>
      </w:r>
      <w:r w:rsidRPr="005E4A71">
        <w:t>Blum</w:t>
      </w:r>
      <w:r w:rsidR="005E4A71">
        <w:t>,</w:t>
      </w:r>
      <w:r w:rsidRPr="005E4A71">
        <w:t xml:space="preserve"> </w:t>
      </w:r>
      <w:r w:rsidRPr="005E4A71">
        <w:rPr>
          <w:i/>
          <w:iCs/>
        </w:rPr>
        <w:t>Lord and Peasant in Russia</w:t>
      </w:r>
      <w:r w:rsidRPr="00106AB3">
        <w:t xml:space="preserve"> (Princeton: Princeton University Press, 1961)</w:t>
      </w:r>
      <w:r w:rsidR="005E4A71">
        <w:t>, pp. 24-26</w:t>
      </w:r>
    </w:p>
  </w:footnote>
  <w:footnote w:id="16">
    <w:p w14:paraId="524859BC" w14:textId="77777777" w:rsidR="00106AB3" w:rsidRDefault="00106AB3">
      <w:pPr>
        <w:pStyle w:val="FootnoteText"/>
      </w:pPr>
      <w:r>
        <w:rPr>
          <w:rStyle w:val="FootnoteReference"/>
        </w:rPr>
        <w:footnoteRef/>
      </w:r>
      <w:r>
        <w:t xml:space="preserve"> </w:t>
      </w:r>
      <w:r w:rsidRPr="00106AB3">
        <w:t>M.M. Postan, "</w:t>
      </w:r>
      <w:r w:rsidRPr="005E4A71">
        <w:rPr>
          <w:i/>
          <w:iCs/>
        </w:rPr>
        <w:t>The Trade of Medieval Europe: The North," in Cambridge Economic History of Europe</w:t>
      </w:r>
      <w:r w:rsidRPr="00106AB3">
        <w:t>, Vol. 2, ed. M.M. Postan &amp; E. Miller (Cambridge: Cambridge University Press, 1987), 168-305.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AB"/>
    <w:rsid w:val="00015E55"/>
    <w:rsid w:val="00044768"/>
    <w:rsid w:val="00074ED4"/>
    <w:rsid w:val="000A133F"/>
    <w:rsid w:val="000B54F1"/>
    <w:rsid w:val="000E1C6F"/>
    <w:rsid w:val="00106AB3"/>
    <w:rsid w:val="00134E15"/>
    <w:rsid w:val="001518BB"/>
    <w:rsid w:val="001649A2"/>
    <w:rsid w:val="0017428D"/>
    <w:rsid w:val="001A7E1B"/>
    <w:rsid w:val="001C7251"/>
    <w:rsid w:val="001E0DC2"/>
    <w:rsid w:val="00224749"/>
    <w:rsid w:val="00271D75"/>
    <w:rsid w:val="002B1B8B"/>
    <w:rsid w:val="002C0043"/>
    <w:rsid w:val="00310591"/>
    <w:rsid w:val="00321C6C"/>
    <w:rsid w:val="00387578"/>
    <w:rsid w:val="003F6EE7"/>
    <w:rsid w:val="00447D18"/>
    <w:rsid w:val="00452C72"/>
    <w:rsid w:val="00485C70"/>
    <w:rsid w:val="004C4436"/>
    <w:rsid w:val="004D2A49"/>
    <w:rsid w:val="00547C65"/>
    <w:rsid w:val="00552374"/>
    <w:rsid w:val="005E4A71"/>
    <w:rsid w:val="00606A73"/>
    <w:rsid w:val="006728C1"/>
    <w:rsid w:val="0067483E"/>
    <w:rsid w:val="00680993"/>
    <w:rsid w:val="00691FD9"/>
    <w:rsid w:val="006B2C26"/>
    <w:rsid w:val="006D259A"/>
    <w:rsid w:val="00752CAC"/>
    <w:rsid w:val="008120AF"/>
    <w:rsid w:val="00833E82"/>
    <w:rsid w:val="008A04E9"/>
    <w:rsid w:val="008C500F"/>
    <w:rsid w:val="008E0CC0"/>
    <w:rsid w:val="00927A5C"/>
    <w:rsid w:val="009A6348"/>
    <w:rsid w:val="00A00531"/>
    <w:rsid w:val="00A37B6E"/>
    <w:rsid w:val="00A70AF4"/>
    <w:rsid w:val="00A7213D"/>
    <w:rsid w:val="00A93A80"/>
    <w:rsid w:val="00A973A3"/>
    <w:rsid w:val="00AB7778"/>
    <w:rsid w:val="00AC7DA6"/>
    <w:rsid w:val="00B77474"/>
    <w:rsid w:val="00BB198E"/>
    <w:rsid w:val="00BF4464"/>
    <w:rsid w:val="00D1149D"/>
    <w:rsid w:val="00D725D1"/>
    <w:rsid w:val="00D72AE4"/>
    <w:rsid w:val="00D83940"/>
    <w:rsid w:val="00DA23BE"/>
    <w:rsid w:val="00DA619D"/>
    <w:rsid w:val="00DD6025"/>
    <w:rsid w:val="00E16F41"/>
    <w:rsid w:val="00E31034"/>
    <w:rsid w:val="00E355A5"/>
    <w:rsid w:val="00E855AB"/>
    <w:rsid w:val="00ED2410"/>
    <w:rsid w:val="00F37239"/>
    <w:rsid w:val="00F54AAE"/>
    <w:rsid w:val="00F63FCA"/>
    <w:rsid w:val="00F735DF"/>
    <w:rsid w:val="00FA432A"/>
    <w:rsid w:val="00FA6E0C"/>
    <w:rsid w:val="00FE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9D6D"/>
  <w15:chartTrackingRefBased/>
  <w15:docId w15:val="{50700EEA-0AE9-4BCE-8E4F-DC8D7F1D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2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59A"/>
    <w:rPr>
      <w:sz w:val="20"/>
      <w:szCs w:val="20"/>
    </w:rPr>
  </w:style>
  <w:style w:type="character" w:styleId="FootnoteReference">
    <w:name w:val="footnote reference"/>
    <w:basedOn w:val="DefaultParagraphFont"/>
    <w:uiPriority w:val="99"/>
    <w:semiHidden/>
    <w:unhideWhenUsed/>
    <w:rsid w:val="006D2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39047">
      <w:bodyDiv w:val="1"/>
      <w:marLeft w:val="0"/>
      <w:marRight w:val="0"/>
      <w:marTop w:val="0"/>
      <w:marBottom w:val="0"/>
      <w:divBdr>
        <w:top w:val="none" w:sz="0" w:space="0" w:color="auto"/>
        <w:left w:val="none" w:sz="0" w:space="0" w:color="auto"/>
        <w:bottom w:val="none" w:sz="0" w:space="0" w:color="auto"/>
        <w:right w:val="none" w:sz="0" w:space="0" w:color="auto"/>
      </w:divBdr>
    </w:div>
    <w:div w:id="320082542">
      <w:bodyDiv w:val="1"/>
      <w:marLeft w:val="0"/>
      <w:marRight w:val="0"/>
      <w:marTop w:val="0"/>
      <w:marBottom w:val="0"/>
      <w:divBdr>
        <w:top w:val="none" w:sz="0" w:space="0" w:color="auto"/>
        <w:left w:val="none" w:sz="0" w:space="0" w:color="auto"/>
        <w:bottom w:val="none" w:sz="0" w:space="0" w:color="auto"/>
        <w:right w:val="none" w:sz="0" w:space="0" w:color="auto"/>
      </w:divBdr>
    </w:div>
    <w:div w:id="810483974">
      <w:bodyDiv w:val="1"/>
      <w:marLeft w:val="0"/>
      <w:marRight w:val="0"/>
      <w:marTop w:val="0"/>
      <w:marBottom w:val="0"/>
      <w:divBdr>
        <w:top w:val="none" w:sz="0" w:space="0" w:color="auto"/>
        <w:left w:val="none" w:sz="0" w:space="0" w:color="auto"/>
        <w:bottom w:val="none" w:sz="0" w:space="0" w:color="auto"/>
        <w:right w:val="none" w:sz="0" w:space="0" w:color="auto"/>
      </w:divBdr>
    </w:div>
    <w:div w:id="858004241">
      <w:bodyDiv w:val="1"/>
      <w:marLeft w:val="0"/>
      <w:marRight w:val="0"/>
      <w:marTop w:val="0"/>
      <w:marBottom w:val="0"/>
      <w:divBdr>
        <w:top w:val="none" w:sz="0" w:space="0" w:color="auto"/>
        <w:left w:val="none" w:sz="0" w:space="0" w:color="auto"/>
        <w:bottom w:val="none" w:sz="0" w:space="0" w:color="auto"/>
        <w:right w:val="none" w:sz="0" w:space="0" w:color="auto"/>
      </w:divBdr>
    </w:div>
    <w:div w:id="2090032491">
      <w:bodyDiv w:val="1"/>
      <w:marLeft w:val="0"/>
      <w:marRight w:val="0"/>
      <w:marTop w:val="0"/>
      <w:marBottom w:val="0"/>
      <w:divBdr>
        <w:top w:val="none" w:sz="0" w:space="0" w:color="auto"/>
        <w:left w:val="none" w:sz="0" w:space="0" w:color="auto"/>
        <w:bottom w:val="none" w:sz="0" w:space="0" w:color="auto"/>
        <w:right w:val="none" w:sz="0" w:space="0" w:color="auto"/>
      </w:divBdr>
    </w:div>
    <w:div w:id="21388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87A6-B0F6-43C0-840D-DA0C2EB4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10</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Silwenga</dc:creator>
  <cp:keywords/>
  <dc:description/>
  <cp:lastModifiedBy>Administrator</cp:lastModifiedBy>
  <cp:revision>60</cp:revision>
  <dcterms:created xsi:type="dcterms:W3CDTF">2024-04-04T08:20:00Z</dcterms:created>
  <dcterms:modified xsi:type="dcterms:W3CDTF">2024-04-08T22:34:00Z</dcterms:modified>
</cp:coreProperties>
</file>