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4E" w:rsidRDefault="00893F05" w:rsidP="0079134E">
      <w:pPr>
        <w:spacing w:line="360" w:lineRule="auto"/>
        <w:jc w:val="both"/>
        <w:rPr>
          <w:rFonts w:ascii="Bookman Old Style" w:hAnsi="Bookman Old Style"/>
          <w:sz w:val="24"/>
          <w:szCs w:val="24"/>
        </w:rPr>
      </w:pPr>
      <w:r>
        <w:rPr>
          <w:rFonts w:ascii="Bookman Old Style" w:hAnsi="Bookman Old Style"/>
          <w:sz w:val="24"/>
          <w:szCs w:val="24"/>
        </w:rPr>
        <w:t>INTRODUCTION</w:t>
      </w:r>
      <w:bookmarkStart w:id="0" w:name="_GoBack"/>
      <w:bookmarkEnd w:id="0"/>
    </w:p>
    <w:p w:rsidR="00893F05" w:rsidRDefault="001F34AA" w:rsidP="0079134E">
      <w:pPr>
        <w:spacing w:line="360" w:lineRule="auto"/>
        <w:jc w:val="both"/>
        <w:rPr>
          <w:rFonts w:ascii="Bookman Old Style" w:hAnsi="Bookman Old Style"/>
          <w:sz w:val="24"/>
          <w:szCs w:val="24"/>
        </w:rPr>
      </w:pPr>
      <w:r>
        <w:rPr>
          <w:rFonts w:ascii="Bookman Old Style" w:hAnsi="Bookman Old Style"/>
          <w:sz w:val="24"/>
          <w:szCs w:val="24"/>
        </w:rPr>
        <w:t>In Zambia c</w:t>
      </w:r>
      <w:r w:rsidRPr="001F34AA">
        <w:rPr>
          <w:rFonts w:ascii="Bookman Old Style" w:hAnsi="Bookman Old Style"/>
          <w:sz w:val="24"/>
          <w:szCs w:val="24"/>
        </w:rPr>
        <w:t>ivil proceedings may be instituted either in the Subordinate Court or the High Court. Before instituting proceedings, it is advisable to first attempt an out of court settlement (ex-curia settlement). In this regard, it is standard practice to first make a demand that the wrong be remedied and that failure to do so would lead to legal proceedings being instituted.</w:t>
      </w:r>
      <w:r w:rsidR="00893F05">
        <w:rPr>
          <w:rFonts w:ascii="Bookman Old Style" w:hAnsi="Bookman Old Style"/>
          <w:sz w:val="24"/>
          <w:szCs w:val="24"/>
        </w:rPr>
        <w:t xml:space="preserve"> </w:t>
      </w:r>
    </w:p>
    <w:p w:rsidR="0079134E" w:rsidRDefault="00893F05" w:rsidP="0079134E">
      <w:pPr>
        <w:spacing w:line="360" w:lineRule="auto"/>
        <w:jc w:val="both"/>
        <w:rPr>
          <w:rFonts w:ascii="Bookman Old Style" w:hAnsi="Bookman Old Style"/>
          <w:sz w:val="24"/>
          <w:szCs w:val="24"/>
        </w:rPr>
      </w:pPr>
      <w:r>
        <w:rPr>
          <w:rFonts w:ascii="Bookman Old Style" w:hAnsi="Bookman Old Style"/>
          <w:sz w:val="24"/>
          <w:szCs w:val="24"/>
        </w:rPr>
        <w:t>The general principle relating commencement of proceedings is that an Act of parliament or rule made thereunder prescribes or provides for how a suit may be commenced. Thus where an Act of Parliament has specifically laid down the method by which proceedings must be begun, whether by writ, an originating summons or an originating notice of motion, there is no choice on which procedure to adopt.</w:t>
      </w:r>
      <w:r>
        <w:rPr>
          <w:rStyle w:val="FootnoteReference"/>
          <w:rFonts w:ascii="Bookman Old Style" w:hAnsi="Bookman Old Style"/>
          <w:sz w:val="24"/>
          <w:szCs w:val="24"/>
        </w:rPr>
        <w:footnoteReference w:id="1"/>
      </w:r>
      <w:r>
        <w:rPr>
          <w:rFonts w:ascii="Bookman Old Style" w:hAnsi="Bookman Old Style"/>
          <w:sz w:val="24"/>
          <w:szCs w:val="24"/>
        </w:rPr>
        <w:t xml:space="preserve"> This seminal principle was laid down by Doyle C J. in Chikuta V </w:t>
      </w:r>
      <w:proofErr w:type="spellStart"/>
      <w:r>
        <w:rPr>
          <w:rFonts w:ascii="Bookman Old Style" w:hAnsi="Bookman Old Style"/>
          <w:sz w:val="24"/>
          <w:szCs w:val="24"/>
        </w:rPr>
        <w:t>Chipata</w:t>
      </w:r>
      <w:proofErr w:type="spellEnd"/>
      <w:r>
        <w:rPr>
          <w:rFonts w:ascii="Bookman Old Style" w:hAnsi="Bookman Old Style"/>
          <w:sz w:val="24"/>
          <w:szCs w:val="24"/>
        </w:rPr>
        <w:t xml:space="preserve"> Rural Council.</w:t>
      </w:r>
      <w:r>
        <w:rPr>
          <w:rStyle w:val="FootnoteReference"/>
          <w:rFonts w:ascii="Bookman Old Style" w:hAnsi="Bookman Old Style"/>
          <w:sz w:val="24"/>
          <w:szCs w:val="24"/>
        </w:rPr>
        <w:footnoteReference w:id="2"/>
      </w:r>
      <w:r>
        <w:rPr>
          <w:rFonts w:ascii="Bookman Old Style" w:hAnsi="Bookman Old Style"/>
          <w:sz w:val="24"/>
          <w:szCs w:val="24"/>
        </w:rPr>
        <w:t xml:space="preserve"> It is therefore grossly erroneous to assume that the mode of commencement of any action is dependent on the relief sought.</w:t>
      </w:r>
      <w:r>
        <w:rPr>
          <w:rStyle w:val="FootnoteReference"/>
          <w:rFonts w:ascii="Bookman Old Style" w:hAnsi="Bookman Old Style"/>
          <w:sz w:val="24"/>
          <w:szCs w:val="24"/>
        </w:rPr>
        <w:footnoteReference w:id="3"/>
      </w:r>
      <w:r>
        <w:rPr>
          <w:rFonts w:ascii="Bookman Old Style" w:hAnsi="Bookman Old Style"/>
          <w:sz w:val="24"/>
          <w:szCs w:val="24"/>
        </w:rPr>
        <w:t xml:space="preserve"> Rather, the mode of commencement of any action is generally provided by the relevant statute.</w:t>
      </w:r>
      <w:r>
        <w:rPr>
          <w:rStyle w:val="FootnoteReference"/>
          <w:rFonts w:ascii="Bookman Old Style" w:hAnsi="Bookman Old Style"/>
          <w:sz w:val="24"/>
          <w:szCs w:val="24"/>
        </w:rPr>
        <w:footnoteReference w:id="4"/>
      </w:r>
      <w:r>
        <w:rPr>
          <w:rFonts w:ascii="Bookman Old Style" w:hAnsi="Bookman Old Style"/>
          <w:sz w:val="24"/>
          <w:szCs w:val="24"/>
        </w:rPr>
        <w:t xml:space="preserve"> Therefore, where a statute provides for the procedure of commencing an action, a party has no option but to abide by that procedure.</w:t>
      </w:r>
      <w:r>
        <w:rPr>
          <w:rStyle w:val="FootnoteReference"/>
          <w:rFonts w:ascii="Bookman Old Style" w:hAnsi="Bookman Old Style"/>
          <w:sz w:val="24"/>
          <w:szCs w:val="24"/>
        </w:rPr>
        <w:footnoteReference w:id="5"/>
      </w:r>
      <w:r>
        <w:rPr>
          <w:rFonts w:ascii="Bookman Old Style" w:hAnsi="Bookman Old Style"/>
          <w:sz w:val="24"/>
          <w:szCs w:val="24"/>
        </w:rPr>
        <w:t xml:space="preserve"> If an action is wrongly commenced, the court has no jurisdiction to make the relief sought.</w:t>
      </w:r>
      <w:r>
        <w:rPr>
          <w:rStyle w:val="FootnoteReference"/>
          <w:rFonts w:ascii="Bookman Old Style" w:hAnsi="Bookman Old Style"/>
          <w:sz w:val="24"/>
          <w:szCs w:val="24"/>
        </w:rPr>
        <w:footnoteReference w:id="6"/>
      </w:r>
      <w:r>
        <w:rPr>
          <w:rFonts w:ascii="Bookman Old Style" w:hAnsi="Bookman Old Style"/>
          <w:sz w:val="24"/>
          <w:szCs w:val="24"/>
        </w:rPr>
        <w:t xml:space="preserve"> However, in default, the practice and procedure to be followed is that which is in substantial conformity with the law and practice for the time being observed in England in the High Court of Justice.</w:t>
      </w:r>
      <w:r>
        <w:rPr>
          <w:rStyle w:val="FootnoteReference"/>
          <w:rFonts w:ascii="Bookman Old Style" w:hAnsi="Bookman Old Style"/>
          <w:sz w:val="24"/>
          <w:szCs w:val="24"/>
        </w:rPr>
        <w:footnoteReference w:id="7"/>
      </w:r>
    </w:p>
    <w:p w:rsidR="00893F05" w:rsidRPr="00893F05" w:rsidRDefault="00893F05" w:rsidP="00893F05">
      <w:pPr>
        <w:spacing w:line="360" w:lineRule="auto"/>
        <w:jc w:val="both"/>
        <w:rPr>
          <w:rFonts w:ascii="Bookman Old Style" w:hAnsi="Bookman Old Style"/>
          <w:sz w:val="24"/>
          <w:szCs w:val="24"/>
        </w:rPr>
      </w:pPr>
      <w:r w:rsidRPr="00893F05">
        <w:rPr>
          <w:rFonts w:ascii="Bookman Old Style" w:hAnsi="Bookman Old Style"/>
          <w:sz w:val="24"/>
          <w:szCs w:val="24"/>
        </w:rPr>
        <w:t xml:space="preserve">In the Chikuta case, the appellant sought a declaration that he was still employed by </w:t>
      </w:r>
      <w:proofErr w:type="spellStart"/>
      <w:r w:rsidRPr="00893F05">
        <w:rPr>
          <w:rFonts w:ascii="Bookman Old Style" w:hAnsi="Bookman Old Style"/>
          <w:sz w:val="24"/>
          <w:szCs w:val="24"/>
        </w:rPr>
        <w:t>Chipata</w:t>
      </w:r>
      <w:proofErr w:type="spellEnd"/>
      <w:r w:rsidRPr="00893F05">
        <w:rPr>
          <w:rFonts w:ascii="Bookman Old Style" w:hAnsi="Bookman Old Style"/>
          <w:sz w:val="24"/>
          <w:szCs w:val="24"/>
        </w:rPr>
        <w:t xml:space="preserve"> Rural Council and brought the matter before the court by way of an originating summon. The court held, inter alia: </w:t>
      </w:r>
    </w:p>
    <w:p w:rsidR="00893F05" w:rsidRPr="00893F05" w:rsidRDefault="00893F05" w:rsidP="00893F05">
      <w:pPr>
        <w:spacing w:line="360" w:lineRule="auto"/>
        <w:jc w:val="both"/>
        <w:rPr>
          <w:rFonts w:ascii="Bookman Old Style" w:hAnsi="Bookman Old Style"/>
          <w:sz w:val="24"/>
          <w:szCs w:val="24"/>
        </w:rPr>
      </w:pPr>
      <w:r w:rsidRPr="00893F05">
        <w:rPr>
          <w:rFonts w:ascii="Bookman Old Style" w:hAnsi="Bookman Old Style"/>
          <w:sz w:val="24"/>
          <w:szCs w:val="24"/>
        </w:rPr>
        <w:lastRenderedPageBreak/>
        <w:t>(</w:t>
      </w:r>
      <w:proofErr w:type="spellStart"/>
      <w:r w:rsidRPr="00893F05">
        <w:rPr>
          <w:rFonts w:ascii="Bookman Old Style" w:hAnsi="Bookman Old Style"/>
          <w:sz w:val="24"/>
          <w:szCs w:val="24"/>
        </w:rPr>
        <w:t>i</w:t>
      </w:r>
      <w:proofErr w:type="spellEnd"/>
      <w:r w:rsidRPr="00893F05">
        <w:rPr>
          <w:rFonts w:ascii="Bookman Old Style" w:hAnsi="Bookman Old Style"/>
          <w:sz w:val="24"/>
          <w:szCs w:val="24"/>
        </w:rPr>
        <w:t xml:space="preserve">)  </w:t>
      </w:r>
      <w:r w:rsidRPr="00893F05">
        <w:rPr>
          <w:rFonts w:ascii="Bookman Old Style" w:hAnsi="Bookman Old Style"/>
          <w:sz w:val="24"/>
          <w:szCs w:val="24"/>
        </w:rPr>
        <w:tab/>
        <w:t>That there is no choice in the high court where there is a choice between commencing an action by writ of summons or by an originating summons.</w:t>
      </w:r>
      <w:r>
        <w:rPr>
          <w:rFonts w:ascii="Bookman Old Style" w:hAnsi="Bookman Old Style"/>
          <w:sz w:val="24"/>
          <w:szCs w:val="24"/>
        </w:rPr>
        <w:t xml:space="preserve"> </w:t>
      </w:r>
    </w:p>
    <w:p w:rsidR="00893F05" w:rsidRDefault="00893F05" w:rsidP="00893F05">
      <w:pPr>
        <w:spacing w:line="360" w:lineRule="auto"/>
        <w:jc w:val="both"/>
        <w:rPr>
          <w:rFonts w:ascii="Bookman Old Style" w:hAnsi="Bookman Old Style"/>
          <w:sz w:val="24"/>
          <w:szCs w:val="24"/>
        </w:rPr>
      </w:pPr>
      <w:r w:rsidRPr="00893F05">
        <w:rPr>
          <w:rFonts w:ascii="Bookman Old Style" w:hAnsi="Bookman Old Style"/>
          <w:sz w:val="24"/>
          <w:szCs w:val="24"/>
        </w:rPr>
        <w:t>(ii)</w:t>
      </w:r>
      <w:r w:rsidRPr="00893F05">
        <w:rPr>
          <w:rFonts w:ascii="Bookman Old Style" w:hAnsi="Bookman Old Style"/>
          <w:sz w:val="24"/>
          <w:szCs w:val="24"/>
        </w:rPr>
        <w:tab/>
        <w:t>Where any matter is brought to the high court by means of an originating summons when it should have been commenced by writ, the court has no jurisdiction to make any declarations.</w:t>
      </w:r>
    </w:p>
    <w:p w:rsidR="00893F05" w:rsidRDefault="00893F05" w:rsidP="0079134E">
      <w:pPr>
        <w:spacing w:line="360" w:lineRule="auto"/>
        <w:jc w:val="both"/>
        <w:rPr>
          <w:rFonts w:ascii="Bookman Old Style" w:hAnsi="Bookman Old Style"/>
          <w:sz w:val="24"/>
          <w:szCs w:val="24"/>
        </w:rPr>
      </w:pPr>
    </w:p>
    <w:p w:rsidR="00893F05" w:rsidRDefault="00893F05" w:rsidP="0079134E">
      <w:pPr>
        <w:spacing w:line="360" w:lineRule="auto"/>
        <w:jc w:val="both"/>
        <w:rPr>
          <w:rFonts w:ascii="Bookman Old Style" w:hAnsi="Bookman Old Style"/>
          <w:sz w:val="24"/>
          <w:szCs w:val="24"/>
        </w:rPr>
      </w:pPr>
      <w:r>
        <w:rPr>
          <w:rFonts w:ascii="Bookman Old Style" w:hAnsi="Bookman Old Style"/>
          <w:sz w:val="24"/>
          <w:szCs w:val="24"/>
        </w:rPr>
        <w:t xml:space="preserve">In the case of </w:t>
      </w:r>
      <w:r w:rsidR="00594273" w:rsidRPr="00893F05">
        <w:rPr>
          <w:rFonts w:ascii="Bookman Old Style" w:hAnsi="Bookman Old Style"/>
          <w:b/>
          <w:i/>
          <w:sz w:val="24"/>
          <w:szCs w:val="24"/>
        </w:rPr>
        <w:t>JCN</w:t>
      </w:r>
      <w:r w:rsidRPr="00893F05">
        <w:rPr>
          <w:rFonts w:ascii="Bookman Old Style" w:hAnsi="Bookman Old Style"/>
          <w:b/>
          <w:i/>
          <w:sz w:val="24"/>
          <w:szCs w:val="24"/>
        </w:rPr>
        <w:t xml:space="preserve"> Holdings Limited</w:t>
      </w:r>
      <w:r w:rsidR="00594273" w:rsidRPr="00893F05">
        <w:rPr>
          <w:rFonts w:ascii="Bookman Old Style" w:hAnsi="Bookman Old Style"/>
          <w:b/>
          <w:i/>
          <w:sz w:val="24"/>
          <w:szCs w:val="24"/>
        </w:rPr>
        <w:t xml:space="preserve">, </w:t>
      </w:r>
      <w:r w:rsidRPr="00893F05">
        <w:rPr>
          <w:rFonts w:ascii="Bookman Old Style" w:hAnsi="Bookman Old Style"/>
          <w:b/>
          <w:i/>
          <w:sz w:val="24"/>
          <w:szCs w:val="24"/>
        </w:rPr>
        <w:t>Post Newspaper Limited and</w:t>
      </w:r>
      <w:r w:rsidR="00594273" w:rsidRPr="00893F05">
        <w:rPr>
          <w:rFonts w:ascii="Bookman Old Style" w:hAnsi="Bookman Old Style"/>
          <w:b/>
          <w:i/>
          <w:sz w:val="24"/>
          <w:szCs w:val="24"/>
        </w:rPr>
        <w:t xml:space="preserve"> </w:t>
      </w:r>
      <w:proofErr w:type="spellStart"/>
      <w:r w:rsidRPr="00893F05">
        <w:rPr>
          <w:rFonts w:ascii="Bookman Old Style" w:hAnsi="Bookman Old Style"/>
          <w:b/>
          <w:i/>
          <w:sz w:val="24"/>
          <w:szCs w:val="24"/>
        </w:rPr>
        <w:t>Mutembo</w:t>
      </w:r>
      <w:proofErr w:type="spellEnd"/>
      <w:r w:rsidRPr="00893F05">
        <w:rPr>
          <w:rFonts w:ascii="Bookman Old Style" w:hAnsi="Bookman Old Style"/>
          <w:b/>
          <w:i/>
          <w:sz w:val="24"/>
          <w:szCs w:val="24"/>
        </w:rPr>
        <w:t xml:space="preserve"> </w:t>
      </w:r>
      <w:proofErr w:type="spellStart"/>
      <w:r w:rsidRPr="00893F05">
        <w:rPr>
          <w:rFonts w:ascii="Bookman Old Style" w:hAnsi="Bookman Old Style"/>
          <w:b/>
          <w:i/>
          <w:sz w:val="24"/>
          <w:szCs w:val="24"/>
        </w:rPr>
        <w:t>Nchito</w:t>
      </w:r>
      <w:proofErr w:type="spellEnd"/>
      <w:r w:rsidR="00594273" w:rsidRPr="00893F05">
        <w:rPr>
          <w:rFonts w:ascii="Bookman Old Style" w:hAnsi="Bookman Old Style"/>
          <w:b/>
          <w:i/>
          <w:sz w:val="24"/>
          <w:szCs w:val="24"/>
        </w:rPr>
        <w:t xml:space="preserve"> v </w:t>
      </w:r>
      <w:r w:rsidRPr="00893F05">
        <w:rPr>
          <w:rFonts w:ascii="Bookman Old Style" w:hAnsi="Bookman Old Style"/>
          <w:b/>
          <w:i/>
          <w:sz w:val="24"/>
          <w:szCs w:val="24"/>
        </w:rPr>
        <w:t>Development Bank of Zambia</w:t>
      </w:r>
      <w:r>
        <w:rPr>
          <w:rFonts w:ascii="Bookman Old Style" w:hAnsi="Bookman Old Style"/>
          <w:b/>
          <w:i/>
          <w:sz w:val="24"/>
          <w:szCs w:val="24"/>
        </w:rPr>
        <w:t>.</w:t>
      </w:r>
      <w:r>
        <w:rPr>
          <w:rStyle w:val="FootnoteReference"/>
          <w:rFonts w:ascii="Bookman Old Style" w:hAnsi="Bookman Old Style"/>
          <w:b/>
          <w:i/>
          <w:sz w:val="24"/>
          <w:szCs w:val="24"/>
        </w:rPr>
        <w:footnoteReference w:id="8"/>
      </w:r>
      <w:r>
        <w:rPr>
          <w:rFonts w:ascii="Bookman Old Style" w:hAnsi="Bookman Old Style"/>
          <w:b/>
          <w:i/>
          <w:sz w:val="24"/>
          <w:szCs w:val="24"/>
        </w:rPr>
        <w:t xml:space="preserve"> </w:t>
      </w:r>
      <w:r w:rsidR="0079134E" w:rsidRPr="0079134E">
        <w:rPr>
          <w:rFonts w:ascii="Bookman Old Style" w:hAnsi="Bookman Old Style"/>
          <w:sz w:val="24"/>
          <w:szCs w:val="24"/>
        </w:rPr>
        <w:t xml:space="preserve">The main matter herein was commenced under the aegis of Rule 3 of the Act, namely by way of Originating Notice of Motion. The Respondent has argued that this was a wrong mode as the tenancy herein is in respect of farming activities. The issue to determine initially is whether the tenancy was for farming purposes. </w:t>
      </w:r>
      <w:r w:rsidR="0079134E" w:rsidRPr="00893F05">
        <w:rPr>
          <w:rFonts w:ascii="Bookman Old Style" w:hAnsi="Bookman Old Style"/>
          <w:b/>
          <w:sz w:val="24"/>
          <w:szCs w:val="24"/>
        </w:rPr>
        <w:t xml:space="preserve">Order 6 Rule 1 and 2 of the High Court Rules of the High Court Act Cap 27 </w:t>
      </w:r>
      <w:r w:rsidR="0079134E" w:rsidRPr="0079134E">
        <w:rPr>
          <w:rFonts w:ascii="Bookman Old Style" w:hAnsi="Bookman Old Style"/>
          <w:sz w:val="24"/>
          <w:szCs w:val="24"/>
        </w:rPr>
        <w:t xml:space="preserve">of the Laws of Zambia provides modes of commencement of an action in the High Court, namely by writ of summons endorsed and accompanied by the full statement of claim, and by originating summons for those cases which may be disposed off in Chambers. </w:t>
      </w:r>
      <w:r>
        <w:rPr>
          <w:rFonts w:ascii="Bookman Old Style" w:hAnsi="Bookman Old Style"/>
          <w:b/>
          <w:i/>
          <w:sz w:val="24"/>
          <w:szCs w:val="24"/>
        </w:rPr>
        <w:t xml:space="preserve"> </w:t>
      </w:r>
      <w:r w:rsidR="0079134E" w:rsidRPr="0079134E">
        <w:rPr>
          <w:rFonts w:ascii="Bookman Old Style" w:hAnsi="Bookman Old Style"/>
          <w:sz w:val="24"/>
          <w:szCs w:val="24"/>
        </w:rPr>
        <w:t xml:space="preserve">The issue of mode of commencement of an action has been the subject of a plethora of authorities and decisions by our Supreme Court, and where it has had occasion to provide interpretation of Order 6 of the High Court Rules quoted above. Among the many cases are those of Chikuta v </w:t>
      </w:r>
      <w:proofErr w:type="spellStart"/>
      <w:r w:rsidR="0079134E" w:rsidRPr="0079134E">
        <w:rPr>
          <w:rFonts w:ascii="Bookman Old Style" w:hAnsi="Bookman Old Style"/>
          <w:sz w:val="24"/>
          <w:szCs w:val="24"/>
        </w:rPr>
        <w:t>Chipata</w:t>
      </w:r>
      <w:proofErr w:type="spellEnd"/>
      <w:r w:rsidR="0079134E" w:rsidRPr="0079134E">
        <w:rPr>
          <w:rFonts w:ascii="Bookman Old Style" w:hAnsi="Bookman Old Style"/>
          <w:sz w:val="24"/>
          <w:szCs w:val="24"/>
        </w:rPr>
        <w:t xml:space="preserve"> Rural Council2 where the Supreme Court said that, </w:t>
      </w:r>
    </w:p>
    <w:p w:rsidR="00893F05" w:rsidRDefault="00893F05" w:rsidP="0079134E">
      <w:pPr>
        <w:spacing w:line="360" w:lineRule="auto"/>
        <w:jc w:val="both"/>
        <w:rPr>
          <w:rFonts w:ascii="Bookman Old Style" w:hAnsi="Bookman Old Style"/>
          <w:sz w:val="24"/>
          <w:szCs w:val="24"/>
        </w:rPr>
      </w:pPr>
      <w:r>
        <w:rPr>
          <w:rFonts w:ascii="Bookman Old Style" w:hAnsi="Bookman Old Style"/>
          <w:sz w:val="24"/>
          <w:szCs w:val="24"/>
        </w:rPr>
        <w:t>“It is clear</w:t>
      </w:r>
      <w:r w:rsidR="0079134E" w:rsidRPr="0079134E">
        <w:rPr>
          <w:rFonts w:ascii="Bookman Old Style" w:hAnsi="Bookman Old Style"/>
          <w:sz w:val="24"/>
          <w:szCs w:val="24"/>
        </w:rPr>
        <w:t xml:space="preserve"> that there is no case where there is a choice between commencing an action by writ of summon</w:t>
      </w:r>
      <w:r>
        <w:rPr>
          <w:rFonts w:ascii="Bookman Old Style" w:hAnsi="Bookman Old Style"/>
          <w:sz w:val="24"/>
          <w:szCs w:val="24"/>
        </w:rPr>
        <w:t>s or by an Originating Summons.”</w:t>
      </w:r>
      <w:r w:rsidR="0079134E" w:rsidRPr="0079134E">
        <w:rPr>
          <w:rFonts w:ascii="Bookman Old Style" w:hAnsi="Bookman Old Style"/>
          <w:sz w:val="24"/>
          <w:szCs w:val="24"/>
        </w:rPr>
        <w:t xml:space="preserve"> </w:t>
      </w:r>
    </w:p>
    <w:p w:rsidR="00893F05" w:rsidRDefault="0079134E" w:rsidP="0079134E">
      <w:pPr>
        <w:spacing w:line="360" w:lineRule="auto"/>
        <w:jc w:val="both"/>
        <w:rPr>
          <w:rFonts w:ascii="Bookman Old Style" w:hAnsi="Bookman Old Style"/>
          <w:i/>
          <w:sz w:val="24"/>
          <w:szCs w:val="24"/>
        </w:rPr>
      </w:pPr>
      <w:r w:rsidRPr="0079134E">
        <w:rPr>
          <w:rFonts w:ascii="Bookman Old Style" w:hAnsi="Bookman Old Style"/>
          <w:sz w:val="24"/>
          <w:szCs w:val="24"/>
        </w:rPr>
        <w:t xml:space="preserve">And the case of </w:t>
      </w:r>
      <w:r w:rsidRPr="00893F05">
        <w:rPr>
          <w:rFonts w:ascii="Bookman Old Style" w:hAnsi="Bookman Old Style"/>
          <w:b/>
          <w:sz w:val="24"/>
          <w:szCs w:val="24"/>
        </w:rPr>
        <w:t xml:space="preserve">New </w:t>
      </w:r>
      <w:proofErr w:type="spellStart"/>
      <w:r w:rsidRPr="00893F05">
        <w:rPr>
          <w:rFonts w:ascii="Bookman Old Style" w:hAnsi="Bookman Old Style"/>
          <w:b/>
          <w:sz w:val="24"/>
          <w:szCs w:val="24"/>
        </w:rPr>
        <w:t>Plast</w:t>
      </w:r>
      <w:proofErr w:type="spellEnd"/>
      <w:r w:rsidRPr="00893F05">
        <w:rPr>
          <w:rFonts w:ascii="Bookman Old Style" w:hAnsi="Bookman Old Style"/>
          <w:b/>
          <w:sz w:val="24"/>
          <w:szCs w:val="24"/>
        </w:rPr>
        <w:t xml:space="preserve"> Industries v The Commissione</w:t>
      </w:r>
      <w:r w:rsidR="00893F05">
        <w:rPr>
          <w:rFonts w:ascii="Bookman Old Style" w:hAnsi="Bookman Old Style"/>
          <w:b/>
          <w:sz w:val="24"/>
          <w:szCs w:val="24"/>
        </w:rPr>
        <w:t>r of Lands and Attorney General</w:t>
      </w:r>
      <w:r w:rsidR="00893F05">
        <w:rPr>
          <w:rStyle w:val="FootnoteReference"/>
          <w:rFonts w:ascii="Bookman Old Style" w:hAnsi="Bookman Old Style"/>
          <w:b/>
          <w:sz w:val="24"/>
          <w:szCs w:val="24"/>
        </w:rPr>
        <w:footnoteReference w:id="9"/>
      </w:r>
      <w:r w:rsidR="00893F05">
        <w:rPr>
          <w:rFonts w:ascii="Bookman Old Style" w:hAnsi="Bookman Old Style"/>
          <w:sz w:val="24"/>
          <w:szCs w:val="24"/>
        </w:rPr>
        <w:t xml:space="preserve"> </w:t>
      </w:r>
      <w:r w:rsidR="00893F05" w:rsidRPr="00893F05">
        <w:rPr>
          <w:rFonts w:ascii="Bookman Old Style" w:hAnsi="Bookman Old Style"/>
          <w:sz w:val="24"/>
          <w:szCs w:val="24"/>
        </w:rPr>
        <w:t xml:space="preserve">to the effect that the mode of commencement is not </w:t>
      </w:r>
      <w:r w:rsidR="00893F05" w:rsidRPr="00893F05">
        <w:rPr>
          <w:rFonts w:ascii="Bookman Old Style" w:hAnsi="Bookman Old Style"/>
          <w:sz w:val="24"/>
          <w:szCs w:val="24"/>
        </w:rPr>
        <w:lastRenderedPageBreak/>
        <w:t>determined by the remedy sought but rather the relevant law. The Supreme Court held</w:t>
      </w:r>
      <w:r w:rsidR="00893F05">
        <w:rPr>
          <w:rFonts w:ascii="Bookman Old Style" w:hAnsi="Bookman Old Style"/>
          <w:i/>
          <w:sz w:val="24"/>
          <w:szCs w:val="24"/>
        </w:rPr>
        <w:t xml:space="preserve">: </w:t>
      </w:r>
    </w:p>
    <w:p w:rsidR="00893F05" w:rsidRDefault="00893F05" w:rsidP="0079134E">
      <w:pPr>
        <w:spacing w:line="360" w:lineRule="auto"/>
        <w:jc w:val="both"/>
        <w:rPr>
          <w:rFonts w:ascii="Bookman Old Style" w:hAnsi="Bookman Old Style"/>
          <w:sz w:val="24"/>
          <w:szCs w:val="24"/>
        </w:rPr>
      </w:pPr>
      <w:r>
        <w:rPr>
          <w:rFonts w:ascii="Bookman Old Style" w:hAnsi="Bookman Old Style"/>
          <w:i/>
          <w:sz w:val="24"/>
          <w:szCs w:val="24"/>
        </w:rPr>
        <w:t>‘</w:t>
      </w:r>
      <w:proofErr w:type="gramStart"/>
      <w:r w:rsidRPr="00893F05">
        <w:rPr>
          <w:rFonts w:ascii="Bookman Old Style" w:hAnsi="Bookman Old Style"/>
          <w:i/>
          <w:sz w:val="24"/>
          <w:szCs w:val="24"/>
        </w:rPr>
        <w:t>it</w:t>
      </w:r>
      <w:proofErr w:type="gramEnd"/>
      <w:r w:rsidRPr="00893F05">
        <w:rPr>
          <w:rFonts w:ascii="Bookman Old Style" w:hAnsi="Bookman Old Style"/>
          <w:i/>
          <w:sz w:val="24"/>
          <w:szCs w:val="24"/>
        </w:rPr>
        <w:t xml:space="preserve"> is not entirely correct that the mode of any action largely depends on the relief being sought. The correct position is that the relevant statute generally provides the mode of commencement of any action. Thus, where a statute provides for the procedure of commencing an action, a party has no option but to abide by that procedure’.</w:t>
      </w:r>
    </w:p>
    <w:p w:rsidR="00893F05" w:rsidRDefault="00893F05" w:rsidP="0079134E">
      <w:pPr>
        <w:spacing w:line="360" w:lineRule="auto"/>
        <w:jc w:val="both"/>
        <w:rPr>
          <w:rFonts w:ascii="Bookman Old Style" w:hAnsi="Bookman Old Style"/>
          <w:sz w:val="24"/>
          <w:szCs w:val="24"/>
        </w:rPr>
      </w:pPr>
      <w:r>
        <w:rPr>
          <w:rFonts w:ascii="Bookman Old Style" w:hAnsi="Bookman Old Style"/>
          <w:sz w:val="24"/>
          <w:szCs w:val="24"/>
        </w:rPr>
        <w:t>in quoting the Chikuta</w:t>
      </w:r>
      <w:r w:rsidR="0079134E" w:rsidRPr="0079134E">
        <w:rPr>
          <w:rFonts w:ascii="Bookman Old Style" w:hAnsi="Bookman Old Style"/>
          <w:sz w:val="24"/>
          <w:szCs w:val="24"/>
        </w:rPr>
        <w:t xml:space="preserve"> case, and in words relevant to this matter stated that, “Where any matter is broug</w:t>
      </w:r>
      <w:r>
        <w:rPr>
          <w:rFonts w:ascii="Bookman Old Style" w:hAnsi="Bookman Old Style"/>
          <w:sz w:val="24"/>
          <w:szCs w:val="24"/>
        </w:rPr>
        <w:t>ht to the High Court by means o</w:t>
      </w:r>
      <w:r w:rsidR="0079134E" w:rsidRPr="0079134E">
        <w:rPr>
          <w:rFonts w:ascii="Bookman Old Style" w:hAnsi="Bookman Old Style"/>
          <w:sz w:val="24"/>
          <w:szCs w:val="24"/>
        </w:rPr>
        <w:t>f an Originating Summons when it should have been commenced by a writ, the Court has no jurisdiction to make any declaration What comes out of the consideration of the above cited authorities, it that as with forum, the mode of commencement goes to the jurisdiction, and when the wrong mode of commencement has been used, the same is so fundamental as to be incurable and renders the proceedings a nullity as the Court is divested of jurisdiction to grant the relief sought by the Plaintiff or Applicant.</w:t>
      </w:r>
      <w:r>
        <w:rPr>
          <w:rFonts w:ascii="Bookman Old Style" w:hAnsi="Bookman Old Style"/>
          <w:sz w:val="24"/>
          <w:szCs w:val="24"/>
        </w:rPr>
        <w:t xml:space="preserve">” </w:t>
      </w:r>
    </w:p>
    <w:p w:rsidR="00594273" w:rsidRDefault="00893F05" w:rsidP="0079134E">
      <w:pPr>
        <w:spacing w:line="360" w:lineRule="auto"/>
        <w:jc w:val="both"/>
        <w:rPr>
          <w:rFonts w:ascii="Bookman Old Style" w:hAnsi="Bookman Old Style"/>
          <w:sz w:val="24"/>
          <w:szCs w:val="24"/>
        </w:rPr>
      </w:pPr>
      <w:r>
        <w:rPr>
          <w:rFonts w:ascii="Bookman Old Style" w:hAnsi="Bookman Old Style"/>
          <w:sz w:val="24"/>
          <w:szCs w:val="24"/>
        </w:rPr>
        <w:t xml:space="preserve">In the case of </w:t>
      </w:r>
      <w:r w:rsidRPr="00893F05">
        <w:rPr>
          <w:rFonts w:ascii="Bookman Old Style" w:hAnsi="Bookman Old Style"/>
          <w:b/>
          <w:i/>
          <w:sz w:val="24"/>
          <w:szCs w:val="24"/>
        </w:rPr>
        <w:t>JCN Holdings Limited</w:t>
      </w:r>
      <w:r>
        <w:rPr>
          <w:rFonts w:ascii="Bookman Old Style" w:hAnsi="Bookman Old Style"/>
          <w:sz w:val="24"/>
          <w:szCs w:val="24"/>
        </w:rPr>
        <w:t xml:space="preserve"> regarding the </w:t>
      </w:r>
      <w:r w:rsidR="0079134E" w:rsidRPr="0079134E">
        <w:rPr>
          <w:rFonts w:ascii="Bookman Old Style" w:hAnsi="Bookman Old Style"/>
          <w:sz w:val="24"/>
          <w:szCs w:val="24"/>
        </w:rPr>
        <w:t>Act under discussion</w:t>
      </w:r>
      <w:r>
        <w:rPr>
          <w:rFonts w:ascii="Bookman Old Style" w:hAnsi="Bookman Old Style"/>
          <w:sz w:val="24"/>
          <w:szCs w:val="24"/>
        </w:rPr>
        <w:t xml:space="preserve"> stated that it</w:t>
      </w:r>
      <w:r w:rsidR="0079134E" w:rsidRPr="0079134E">
        <w:rPr>
          <w:rFonts w:ascii="Bookman Old Style" w:hAnsi="Bookman Old Style"/>
          <w:sz w:val="24"/>
          <w:szCs w:val="24"/>
        </w:rPr>
        <w:t xml:space="preserve"> is a fundamental rule that a tenancy that falls within the scope of the Act can only be terminated by the means prescribed in the Act, and that the same Act has prescribed it the mode of commencement of an action under the Act. </w:t>
      </w:r>
      <w:proofErr w:type="gramStart"/>
      <w:r w:rsidR="0079134E" w:rsidRPr="0079134E">
        <w:rPr>
          <w:rFonts w:ascii="Bookman Old Style" w:hAnsi="Bookman Old Style"/>
          <w:sz w:val="24"/>
          <w:szCs w:val="24"/>
        </w:rPr>
        <w:t>Rule (3) of the said Act sets out the mode of commencement of an action.</w:t>
      </w:r>
      <w:proofErr w:type="gramEnd"/>
      <w:r w:rsidR="0079134E" w:rsidRPr="0079134E">
        <w:rPr>
          <w:rFonts w:ascii="Bookman Old Style" w:hAnsi="Bookman Old Style"/>
          <w:sz w:val="24"/>
          <w:szCs w:val="24"/>
        </w:rPr>
        <w:t xml:space="preserve"> Therefore in terms of the direction by Order 6 rule 2, and the cited cases above, it is settled that there can be no departure to the mode of commencement of the action. However, the matter does not end there. It has been contended that because the Applicant had mentioned in paragraph 10 of his affidavit in support of the Notice of Motion R17 R18 that he was carrying out farming activities on the demised premises, then the tenancy fell outside the purview of the Landlord and Tenant (Business Premises) Act, and that that </w:t>
      </w:r>
      <w:r w:rsidR="0079134E" w:rsidRPr="0079134E">
        <w:rPr>
          <w:rFonts w:ascii="Bookman Old Style" w:hAnsi="Bookman Old Style"/>
          <w:sz w:val="24"/>
          <w:szCs w:val="24"/>
        </w:rPr>
        <w:lastRenderedPageBreak/>
        <w:t>being the case, a wrong mode of commencement of the action was employed; and therefore the matter ought to be dismissed.</w:t>
      </w:r>
    </w:p>
    <w:p w:rsidR="00893F05" w:rsidRDefault="00893F05" w:rsidP="0079134E">
      <w:pPr>
        <w:spacing w:line="360" w:lineRule="auto"/>
        <w:jc w:val="both"/>
        <w:rPr>
          <w:rFonts w:ascii="Bookman Old Style" w:hAnsi="Bookman Old Style"/>
          <w:sz w:val="24"/>
          <w:szCs w:val="24"/>
        </w:rPr>
      </w:pPr>
      <w:r w:rsidRPr="00893F05">
        <w:rPr>
          <w:rFonts w:ascii="Bookman Old Style" w:hAnsi="Bookman Old Style"/>
          <w:sz w:val="24"/>
          <w:szCs w:val="24"/>
        </w:rPr>
        <w:t xml:space="preserve">In </w:t>
      </w:r>
      <w:r w:rsidRPr="00893F05">
        <w:rPr>
          <w:rFonts w:ascii="Bookman Old Style" w:hAnsi="Bookman Old Style"/>
          <w:b/>
          <w:i/>
          <w:sz w:val="24"/>
          <w:szCs w:val="24"/>
        </w:rPr>
        <w:t xml:space="preserve">Amber Louise Guest, Milan </w:t>
      </w:r>
      <w:proofErr w:type="spellStart"/>
      <w:r w:rsidRPr="00893F05">
        <w:rPr>
          <w:rFonts w:ascii="Bookman Old Style" w:hAnsi="Bookman Old Style"/>
          <w:b/>
          <w:i/>
          <w:sz w:val="24"/>
          <w:szCs w:val="24"/>
        </w:rPr>
        <w:t>Trbonic</w:t>
      </w:r>
      <w:proofErr w:type="spellEnd"/>
      <w:r w:rsidRPr="00893F05">
        <w:rPr>
          <w:rFonts w:ascii="Bookman Old Style" w:hAnsi="Bookman Old Style"/>
          <w:b/>
          <w:i/>
          <w:sz w:val="24"/>
          <w:szCs w:val="24"/>
        </w:rPr>
        <w:t xml:space="preserve"> v Beatrice </w:t>
      </w:r>
      <w:proofErr w:type="spellStart"/>
      <w:r w:rsidRPr="00893F05">
        <w:rPr>
          <w:rFonts w:ascii="Bookman Old Style" w:hAnsi="Bookman Old Style"/>
          <w:b/>
          <w:i/>
          <w:sz w:val="24"/>
          <w:szCs w:val="24"/>
        </w:rPr>
        <w:t>Mulako</w:t>
      </w:r>
      <w:proofErr w:type="spellEnd"/>
      <w:r w:rsidRPr="00893F05">
        <w:rPr>
          <w:rFonts w:ascii="Bookman Old Style" w:hAnsi="Bookman Old Style"/>
          <w:b/>
          <w:i/>
          <w:sz w:val="24"/>
          <w:szCs w:val="24"/>
        </w:rPr>
        <w:t xml:space="preserve"> </w:t>
      </w:r>
      <w:proofErr w:type="spellStart"/>
      <w:r w:rsidRPr="00893F05">
        <w:rPr>
          <w:rFonts w:ascii="Bookman Old Style" w:hAnsi="Bookman Old Style"/>
          <w:b/>
          <w:i/>
          <w:sz w:val="24"/>
          <w:szCs w:val="24"/>
        </w:rPr>
        <w:t>Mukinga</w:t>
      </w:r>
      <w:proofErr w:type="spellEnd"/>
      <w:r w:rsidRPr="00893F05">
        <w:rPr>
          <w:rFonts w:ascii="Bookman Old Style" w:hAnsi="Bookman Old Style"/>
          <w:b/>
          <w:i/>
          <w:sz w:val="24"/>
          <w:szCs w:val="24"/>
        </w:rPr>
        <w:t>, Attorney General</w:t>
      </w:r>
      <w:r>
        <w:rPr>
          <w:rStyle w:val="FootnoteReference"/>
          <w:rFonts w:ascii="Bookman Old Style" w:hAnsi="Bookman Old Style"/>
          <w:b/>
          <w:i/>
          <w:sz w:val="24"/>
          <w:szCs w:val="24"/>
        </w:rPr>
        <w:footnoteReference w:id="10"/>
      </w:r>
      <w:r w:rsidRPr="00893F05">
        <w:rPr>
          <w:rFonts w:ascii="Bookman Old Style" w:hAnsi="Bookman Old Style"/>
          <w:sz w:val="24"/>
          <w:szCs w:val="24"/>
        </w:rPr>
        <w:t xml:space="preserve">, Justice </w:t>
      </w:r>
      <w:proofErr w:type="spellStart"/>
      <w:r w:rsidRPr="00893F05">
        <w:rPr>
          <w:rFonts w:ascii="Bookman Old Style" w:hAnsi="Bookman Old Style"/>
          <w:sz w:val="24"/>
          <w:szCs w:val="24"/>
        </w:rPr>
        <w:t>Matibini</w:t>
      </w:r>
      <w:proofErr w:type="spellEnd"/>
      <w:r w:rsidRPr="00893F05">
        <w:rPr>
          <w:rFonts w:ascii="Bookman Old Style" w:hAnsi="Bookman Old Style"/>
          <w:sz w:val="24"/>
          <w:szCs w:val="24"/>
        </w:rPr>
        <w:t xml:space="preserve"> also held, </w:t>
      </w:r>
      <w:r w:rsidRPr="00893F05">
        <w:rPr>
          <w:rFonts w:ascii="Bookman Old Style" w:hAnsi="Bookman Old Style"/>
          <w:i/>
          <w:sz w:val="24"/>
          <w:szCs w:val="24"/>
        </w:rPr>
        <w:t>obiter dicta</w:t>
      </w:r>
      <w:r w:rsidRPr="00893F05">
        <w:rPr>
          <w:rFonts w:ascii="Bookman Old Style" w:hAnsi="Bookman Old Style"/>
          <w:sz w:val="24"/>
          <w:szCs w:val="24"/>
        </w:rPr>
        <w:t>, that by virtue of Act No. 14 of 2002 which amended section 2 of the English Law (Extent of Application) Act by insertion of paragraph (e), the entire whole of the 1999 edition of the White Book, including cases, had been incorporated in our rules and procedures. He further held that, as such, by statute, Zambian courts are bound to follow all the rules and procedures followed in England as stated in the 1999 edition of the White Book. Hitherto, the White Book merely filled in gaps in our practice and procedure</w:t>
      </w:r>
      <w:r>
        <w:rPr>
          <w:rFonts w:ascii="Bookman Old Style" w:hAnsi="Bookman Old Style"/>
          <w:sz w:val="24"/>
          <w:szCs w:val="24"/>
        </w:rPr>
        <w:t>.</w:t>
      </w:r>
    </w:p>
    <w:p w:rsidR="00893F05" w:rsidRPr="00893F05" w:rsidRDefault="00893F05" w:rsidP="00893F05">
      <w:pPr>
        <w:spacing w:line="360" w:lineRule="auto"/>
        <w:jc w:val="both"/>
        <w:rPr>
          <w:rFonts w:ascii="Bookman Old Style" w:hAnsi="Bookman Old Style"/>
          <w:sz w:val="24"/>
          <w:szCs w:val="24"/>
          <w:lang w:val="en-GB"/>
        </w:rPr>
      </w:pPr>
      <w:r w:rsidRPr="00893F05">
        <w:rPr>
          <w:rFonts w:ascii="Bookman Old Style" w:hAnsi="Bookman Old Style"/>
          <w:sz w:val="24"/>
          <w:szCs w:val="24"/>
          <w:lang w:val="en-GB"/>
        </w:rPr>
        <w:t>The said amendment to the English Law (Extent of Application) Act under Act Number 14 0f 2002, read: -</w:t>
      </w:r>
    </w:p>
    <w:p w:rsidR="00893F05" w:rsidRPr="00893F05" w:rsidRDefault="00893F05" w:rsidP="00893F05">
      <w:pPr>
        <w:spacing w:line="360" w:lineRule="auto"/>
        <w:jc w:val="both"/>
        <w:rPr>
          <w:rFonts w:ascii="Bookman Old Style" w:hAnsi="Bookman Old Style"/>
          <w:i/>
          <w:sz w:val="24"/>
          <w:szCs w:val="24"/>
          <w:lang w:val="en-GB"/>
        </w:rPr>
      </w:pPr>
      <w:r w:rsidRPr="00893F05">
        <w:rPr>
          <w:rFonts w:ascii="Bookman Old Style" w:hAnsi="Bookman Old Style"/>
          <w:i/>
          <w:sz w:val="24"/>
          <w:szCs w:val="24"/>
          <w:lang w:val="en-GB"/>
        </w:rPr>
        <w:t>“(e) the Supreme Court Practice Rules of England in force until 1999, provided that the Civil Court Practice 1999 (The Green Book) of England or any other Civil Court Practice Rules issued after 1999 in England shall not apply to Zambia except in Matrimonial Causes”.</w:t>
      </w:r>
    </w:p>
    <w:p w:rsidR="00893F05" w:rsidRPr="00893F05" w:rsidRDefault="00893F05" w:rsidP="00893F05">
      <w:pPr>
        <w:spacing w:line="360" w:lineRule="auto"/>
        <w:jc w:val="both"/>
        <w:rPr>
          <w:rFonts w:ascii="Bookman Old Style" w:hAnsi="Bookman Old Style"/>
          <w:sz w:val="24"/>
          <w:szCs w:val="24"/>
          <w:lang w:val="en-GB"/>
        </w:rPr>
      </w:pPr>
      <w:r w:rsidRPr="00893F05">
        <w:rPr>
          <w:rFonts w:ascii="Bookman Old Style" w:hAnsi="Bookman Old Style"/>
          <w:sz w:val="24"/>
          <w:szCs w:val="24"/>
          <w:lang w:val="en-GB"/>
        </w:rPr>
        <w:t xml:space="preserve">Similarly, Act No. 15 of </w:t>
      </w:r>
      <w:proofErr w:type="gramStart"/>
      <w:r w:rsidRPr="00893F05">
        <w:rPr>
          <w:rFonts w:ascii="Bookman Old Style" w:hAnsi="Bookman Old Style"/>
          <w:sz w:val="24"/>
          <w:szCs w:val="24"/>
          <w:lang w:val="en-GB"/>
        </w:rPr>
        <w:t>2002,</w:t>
      </w:r>
      <w:proofErr w:type="gramEnd"/>
      <w:r w:rsidRPr="00893F05">
        <w:rPr>
          <w:rFonts w:ascii="Bookman Old Style" w:hAnsi="Bookman Old Style"/>
          <w:sz w:val="24"/>
          <w:szCs w:val="24"/>
          <w:lang w:val="en-GB"/>
        </w:rPr>
        <w:t xml:space="preserve"> had amended the Supreme Court Act with the insertion at the end of paragraph (ii) under section 8 of the following words: </w:t>
      </w:r>
    </w:p>
    <w:p w:rsidR="00893F05" w:rsidRPr="00893F05" w:rsidRDefault="00893F05" w:rsidP="00893F05">
      <w:pPr>
        <w:spacing w:line="360" w:lineRule="auto"/>
        <w:jc w:val="both"/>
        <w:rPr>
          <w:rFonts w:ascii="Bookman Old Style" w:hAnsi="Bookman Old Style"/>
          <w:i/>
          <w:sz w:val="24"/>
          <w:szCs w:val="24"/>
          <w:lang w:val="en-GB"/>
        </w:rPr>
      </w:pPr>
      <w:r w:rsidRPr="00893F05">
        <w:rPr>
          <w:rFonts w:ascii="Bookman Old Style" w:hAnsi="Bookman Old Style"/>
          <w:i/>
          <w:sz w:val="24"/>
          <w:szCs w:val="24"/>
          <w:lang w:val="en-GB"/>
        </w:rPr>
        <w:t xml:space="preserve">“except the Civil Court Practice 1999 (The Green Book) of England or any Civil Court practice rules issued after 1999 in England shall not apply to Zambia unless they related to Matrimonial Causes”. </w:t>
      </w:r>
    </w:p>
    <w:p w:rsidR="00893F05" w:rsidRPr="00893F05" w:rsidRDefault="00893F05" w:rsidP="00893F05">
      <w:pPr>
        <w:spacing w:line="360" w:lineRule="auto"/>
        <w:jc w:val="both"/>
        <w:rPr>
          <w:rFonts w:ascii="Bookman Old Style" w:hAnsi="Bookman Old Style"/>
          <w:sz w:val="24"/>
          <w:szCs w:val="24"/>
          <w:lang w:val="en-GB"/>
        </w:rPr>
      </w:pPr>
      <w:r w:rsidRPr="00893F05">
        <w:rPr>
          <w:rFonts w:ascii="Bookman Old Style" w:hAnsi="Bookman Old Style"/>
          <w:sz w:val="24"/>
          <w:szCs w:val="24"/>
          <w:lang w:val="en-GB"/>
        </w:rPr>
        <w:t>Section 8 previously read: -</w:t>
      </w:r>
    </w:p>
    <w:p w:rsidR="00893F05" w:rsidRPr="00893F05" w:rsidRDefault="00893F05" w:rsidP="00893F05">
      <w:pPr>
        <w:spacing w:line="360" w:lineRule="auto"/>
        <w:jc w:val="both"/>
        <w:rPr>
          <w:rFonts w:ascii="Bookman Old Style" w:hAnsi="Bookman Old Style"/>
          <w:i/>
          <w:sz w:val="24"/>
          <w:szCs w:val="24"/>
          <w:lang w:val="en-GB"/>
        </w:rPr>
      </w:pPr>
      <w:r w:rsidRPr="00893F05">
        <w:rPr>
          <w:rFonts w:ascii="Bookman Old Style" w:hAnsi="Bookman Old Style"/>
          <w:i/>
          <w:sz w:val="24"/>
          <w:szCs w:val="24"/>
          <w:lang w:val="en-GB"/>
        </w:rPr>
        <w:t xml:space="preserve">“8 The jurisdiction vested in the Court shall, as regards practice and procedure, be exercised in the manner provided by this Act and Rules of Court. Provided that if this Act or Rules of Court do not make provision for any particular point of </w:t>
      </w:r>
      <w:r w:rsidRPr="00893F05">
        <w:rPr>
          <w:rFonts w:ascii="Bookman Old Style" w:hAnsi="Bookman Old Style"/>
          <w:i/>
          <w:sz w:val="24"/>
          <w:szCs w:val="24"/>
          <w:lang w:val="en-GB"/>
        </w:rPr>
        <w:lastRenderedPageBreak/>
        <w:t>practice or procedure, the practice and procedure of the Court shall be (</w:t>
      </w:r>
      <w:proofErr w:type="spellStart"/>
      <w:r w:rsidRPr="00893F05">
        <w:rPr>
          <w:rFonts w:ascii="Bookman Old Style" w:hAnsi="Bookman Old Style"/>
          <w:i/>
          <w:sz w:val="24"/>
          <w:szCs w:val="24"/>
          <w:lang w:val="en-GB"/>
        </w:rPr>
        <w:t>i</w:t>
      </w:r>
      <w:proofErr w:type="spellEnd"/>
      <w:r w:rsidRPr="00893F05">
        <w:rPr>
          <w:rFonts w:ascii="Bookman Old Style" w:hAnsi="Bookman Old Style"/>
          <w:i/>
          <w:sz w:val="24"/>
          <w:szCs w:val="24"/>
          <w:lang w:val="en-GB"/>
        </w:rPr>
        <w:t>) in relation to criminal matters, as nearly as may in accordance with the law and practice for the time being observed in the Court of Criminal Appeal in England; (ii) in relation to civil matters, as nearly as may be in accordance with the law and practice for the time being observed in the Court of Appeal in England”.</w:t>
      </w:r>
    </w:p>
    <w:p w:rsidR="00893F05" w:rsidRPr="00893F05" w:rsidRDefault="00893F05" w:rsidP="00893F05">
      <w:pPr>
        <w:spacing w:line="360" w:lineRule="auto"/>
        <w:jc w:val="both"/>
        <w:rPr>
          <w:rFonts w:ascii="Bookman Old Style" w:hAnsi="Bookman Old Style"/>
          <w:sz w:val="24"/>
          <w:szCs w:val="24"/>
          <w:lang w:val="en-GB"/>
        </w:rPr>
      </w:pPr>
      <w:r w:rsidRPr="00893F05">
        <w:rPr>
          <w:rFonts w:ascii="Bookman Old Style" w:hAnsi="Bookman Old Style"/>
          <w:sz w:val="24"/>
          <w:szCs w:val="24"/>
          <w:lang w:val="en-GB"/>
        </w:rPr>
        <w:t xml:space="preserve">Section 10 of the High Court was equally amended by Act No. 16 of 2002, b the insertion of the following proviso: </w:t>
      </w:r>
    </w:p>
    <w:p w:rsidR="00893F05" w:rsidRPr="00893F05" w:rsidRDefault="00893F05" w:rsidP="00893F05">
      <w:pPr>
        <w:spacing w:line="360" w:lineRule="auto"/>
        <w:jc w:val="both"/>
        <w:rPr>
          <w:rFonts w:ascii="Bookman Old Style" w:hAnsi="Bookman Old Style"/>
          <w:i/>
          <w:sz w:val="24"/>
          <w:szCs w:val="24"/>
          <w:lang w:val="en-GB"/>
        </w:rPr>
      </w:pPr>
      <w:r w:rsidRPr="00893F05">
        <w:rPr>
          <w:rFonts w:ascii="Bookman Old Style" w:hAnsi="Bookman Old Style"/>
          <w:i/>
          <w:sz w:val="24"/>
          <w:szCs w:val="24"/>
          <w:lang w:val="en-GB"/>
        </w:rPr>
        <w:t>“Provided that the Civil Court practice 1999 (The Green Book) of England or any other Civil Court practice rule issued after 1999, in England shall not apply to Zambia unless they relate to Matrimonial Causes”.</w:t>
      </w:r>
    </w:p>
    <w:p w:rsidR="00893F05" w:rsidRPr="00893F05" w:rsidRDefault="00893F05" w:rsidP="00893F05">
      <w:pPr>
        <w:spacing w:line="360" w:lineRule="auto"/>
        <w:jc w:val="both"/>
        <w:rPr>
          <w:rFonts w:ascii="Bookman Old Style" w:hAnsi="Bookman Old Style"/>
          <w:sz w:val="24"/>
          <w:szCs w:val="24"/>
          <w:lang w:val="en-GB"/>
        </w:rPr>
      </w:pPr>
      <w:r w:rsidRPr="00893F05">
        <w:rPr>
          <w:rFonts w:ascii="Bookman Old Style" w:hAnsi="Bookman Old Style"/>
          <w:sz w:val="24"/>
          <w:szCs w:val="24"/>
          <w:lang w:val="en-GB"/>
        </w:rPr>
        <w:t>Section 10 hitherto provided as follows: -</w:t>
      </w:r>
    </w:p>
    <w:p w:rsidR="00893F05" w:rsidRPr="00893F05" w:rsidRDefault="00893F05" w:rsidP="0079134E">
      <w:pPr>
        <w:spacing w:line="360" w:lineRule="auto"/>
        <w:jc w:val="both"/>
        <w:rPr>
          <w:rFonts w:ascii="Bookman Old Style" w:hAnsi="Bookman Old Style"/>
          <w:i/>
          <w:sz w:val="24"/>
          <w:szCs w:val="24"/>
          <w:lang w:val="en-GB"/>
        </w:rPr>
      </w:pPr>
      <w:r w:rsidRPr="00893F05">
        <w:rPr>
          <w:rFonts w:ascii="Bookman Old Style" w:hAnsi="Bookman Old Style"/>
          <w:i/>
          <w:sz w:val="24"/>
          <w:szCs w:val="24"/>
          <w:lang w:val="en-GB"/>
        </w:rPr>
        <w:t>“The jurisdiction vested in the Court shall, as regards practice and procedure, be exercised in the matter provided by this Act, and the Criminal Procedure Code, or by any other written law or by such rules or directions of the Court as may be made under this Act or the said Code or such written law and in default thereof in substantial conformity with eh law and practice for the time being observed in England in the High Court of Justice:”</w:t>
      </w:r>
    </w:p>
    <w:p w:rsidR="00893F05" w:rsidRPr="00893F05" w:rsidRDefault="00893F05" w:rsidP="0079134E">
      <w:pPr>
        <w:spacing w:line="360" w:lineRule="auto"/>
        <w:jc w:val="both"/>
        <w:rPr>
          <w:rFonts w:ascii="Bookman Old Style" w:hAnsi="Bookman Old Style"/>
          <w:sz w:val="24"/>
          <w:szCs w:val="24"/>
        </w:rPr>
      </w:pPr>
      <w:r w:rsidRPr="00893F05">
        <w:rPr>
          <w:rFonts w:ascii="Bookman Old Style" w:hAnsi="Bookman Old Style"/>
          <w:sz w:val="24"/>
          <w:szCs w:val="24"/>
        </w:rPr>
        <w:t>However, in the case of</w:t>
      </w:r>
      <w:r>
        <w:rPr>
          <w:rFonts w:ascii="Bookman Old Style" w:hAnsi="Bookman Old Style"/>
          <w:b/>
          <w:i/>
          <w:sz w:val="24"/>
          <w:szCs w:val="24"/>
        </w:rPr>
        <w:t xml:space="preserve"> Road Transport and Safety Agency v First National Bank Zambia Limited</w:t>
      </w:r>
      <w:r>
        <w:rPr>
          <w:rStyle w:val="FootnoteReference"/>
          <w:rFonts w:ascii="Bookman Old Style" w:hAnsi="Bookman Old Style"/>
          <w:b/>
          <w:i/>
          <w:sz w:val="24"/>
          <w:szCs w:val="24"/>
        </w:rPr>
        <w:footnoteReference w:id="11"/>
      </w:r>
      <w:r>
        <w:rPr>
          <w:rFonts w:ascii="Bookman Old Style" w:hAnsi="Bookman Old Style"/>
          <w:b/>
          <w:i/>
          <w:sz w:val="24"/>
          <w:szCs w:val="24"/>
        </w:rPr>
        <w:t xml:space="preserve"> </w:t>
      </w:r>
      <w:r w:rsidRPr="00893F05">
        <w:rPr>
          <w:rFonts w:ascii="Bookman Old Style" w:hAnsi="Bookman Old Style"/>
          <w:sz w:val="24"/>
          <w:szCs w:val="24"/>
        </w:rPr>
        <w:t xml:space="preserve">seem to discern from the </w:t>
      </w:r>
      <w:r>
        <w:rPr>
          <w:rFonts w:ascii="Bookman Old Style" w:hAnsi="Bookman Old Style"/>
          <w:b/>
          <w:i/>
          <w:sz w:val="24"/>
          <w:szCs w:val="24"/>
        </w:rPr>
        <w:t xml:space="preserve">Chikuta </w:t>
      </w:r>
      <w:r w:rsidRPr="00893F05">
        <w:rPr>
          <w:rFonts w:ascii="Bookman Old Style" w:hAnsi="Bookman Old Style"/>
          <w:sz w:val="24"/>
          <w:szCs w:val="24"/>
        </w:rPr>
        <w:t>decision because it implies that the mode of commencement of an action can be the claim or endorsement. The position in</w:t>
      </w:r>
      <w:r>
        <w:rPr>
          <w:rFonts w:ascii="Bookman Old Style" w:hAnsi="Bookman Old Style"/>
          <w:b/>
          <w:i/>
          <w:sz w:val="24"/>
          <w:szCs w:val="24"/>
        </w:rPr>
        <w:t xml:space="preserve"> RATSA V FNBZ </w:t>
      </w:r>
      <w:r w:rsidRPr="00893F05">
        <w:rPr>
          <w:rFonts w:ascii="Bookman Old Style" w:hAnsi="Bookman Old Style"/>
          <w:sz w:val="24"/>
          <w:szCs w:val="24"/>
        </w:rPr>
        <w:t>kills the harshness of the law in that instead of the matter been thrown away because the mode which was used was based on the claim, it now gives jurisdiction to the courts to hear the matter.</w:t>
      </w:r>
    </w:p>
    <w:p w:rsidR="00893F05" w:rsidRPr="00893F05" w:rsidRDefault="00893F05" w:rsidP="00893F05">
      <w:pPr>
        <w:spacing w:line="360" w:lineRule="auto"/>
        <w:jc w:val="both"/>
        <w:rPr>
          <w:rFonts w:ascii="Bookman Old Style" w:hAnsi="Bookman Old Style"/>
          <w:sz w:val="24"/>
          <w:szCs w:val="24"/>
        </w:rPr>
      </w:pPr>
      <w:r w:rsidRPr="00893F05">
        <w:rPr>
          <w:rFonts w:ascii="Bookman Old Style" w:hAnsi="Bookman Old Style"/>
          <w:sz w:val="24"/>
          <w:szCs w:val="24"/>
        </w:rPr>
        <w:t>Furthermore, the case of</w:t>
      </w:r>
      <w:r>
        <w:rPr>
          <w:rFonts w:ascii="Bookman Old Style" w:hAnsi="Bookman Old Style"/>
          <w:b/>
          <w:i/>
          <w:sz w:val="24"/>
          <w:szCs w:val="24"/>
        </w:rPr>
        <w:t xml:space="preserve"> </w:t>
      </w:r>
      <w:r w:rsidRPr="00893F05">
        <w:rPr>
          <w:rFonts w:ascii="Bookman Old Style" w:hAnsi="Bookman Old Style"/>
          <w:b/>
          <w:i/>
          <w:sz w:val="24"/>
          <w:szCs w:val="24"/>
        </w:rPr>
        <w:t>Road Transport and Safety Agency v First National Bank Zambia Limited</w:t>
      </w:r>
      <w:r>
        <w:rPr>
          <w:rFonts w:ascii="Bookman Old Style" w:hAnsi="Bookman Old Style"/>
          <w:b/>
          <w:i/>
          <w:sz w:val="24"/>
          <w:szCs w:val="24"/>
        </w:rPr>
        <w:t xml:space="preserve"> </w:t>
      </w:r>
      <w:r w:rsidRPr="00893F05">
        <w:rPr>
          <w:rFonts w:ascii="Bookman Old Style" w:hAnsi="Bookman Old Style"/>
          <w:sz w:val="24"/>
          <w:szCs w:val="24"/>
        </w:rPr>
        <w:t xml:space="preserve">is not the first case to discern from the </w:t>
      </w:r>
      <w:r w:rsidRPr="00893F05">
        <w:rPr>
          <w:rFonts w:ascii="Bookman Old Style" w:hAnsi="Bookman Old Style"/>
          <w:sz w:val="24"/>
          <w:szCs w:val="24"/>
        </w:rPr>
        <w:lastRenderedPageBreak/>
        <w:t>Chikutas decision.  I</w:t>
      </w:r>
      <w:r w:rsidRPr="00893F05">
        <w:rPr>
          <w:rFonts w:ascii="Bookman Old Style" w:hAnsi="Bookman Old Style"/>
          <w:b/>
          <w:i/>
          <w:sz w:val="24"/>
          <w:szCs w:val="24"/>
        </w:rPr>
        <w:t xml:space="preserve">n Ludwig </w:t>
      </w:r>
      <w:proofErr w:type="spellStart"/>
      <w:r w:rsidRPr="00893F05">
        <w:rPr>
          <w:rFonts w:ascii="Bookman Old Style" w:hAnsi="Bookman Old Style"/>
          <w:b/>
          <w:i/>
          <w:sz w:val="24"/>
          <w:szCs w:val="24"/>
        </w:rPr>
        <w:t>Sondashi</w:t>
      </w:r>
      <w:proofErr w:type="spellEnd"/>
      <w:r w:rsidRPr="00893F05">
        <w:rPr>
          <w:rFonts w:ascii="Bookman Old Style" w:hAnsi="Bookman Old Style"/>
          <w:b/>
          <w:i/>
          <w:sz w:val="24"/>
          <w:szCs w:val="24"/>
        </w:rPr>
        <w:t xml:space="preserve"> </w:t>
      </w:r>
      <w:r>
        <w:rPr>
          <w:rFonts w:ascii="Bookman Old Style" w:hAnsi="Bookman Old Style"/>
          <w:b/>
          <w:i/>
          <w:sz w:val="24"/>
          <w:szCs w:val="24"/>
        </w:rPr>
        <w:t xml:space="preserve">v Godfrey </w:t>
      </w:r>
      <w:proofErr w:type="spellStart"/>
      <w:r>
        <w:rPr>
          <w:rFonts w:ascii="Bookman Old Style" w:hAnsi="Bookman Old Style"/>
          <w:b/>
          <w:i/>
          <w:sz w:val="24"/>
          <w:szCs w:val="24"/>
        </w:rPr>
        <w:t>Miyanda</w:t>
      </w:r>
      <w:proofErr w:type="spellEnd"/>
      <w:r w:rsidRPr="00893F05">
        <w:rPr>
          <w:rFonts w:ascii="Bookman Old Style" w:hAnsi="Bookman Old Style"/>
          <w:b/>
          <w:i/>
          <w:sz w:val="24"/>
          <w:szCs w:val="24"/>
        </w:rPr>
        <w:t>,</w:t>
      </w:r>
      <w:r>
        <w:rPr>
          <w:rStyle w:val="FootnoteReference"/>
          <w:rFonts w:ascii="Bookman Old Style" w:hAnsi="Bookman Old Style"/>
          <w:b/>
          <w:i/>
          <w:sz w:val="24"/>
          <w:szCs w:val="24"/>
        </w:rPr>
        <w:footnoteReference w:id="12"/>
      </w:r>
      <w:r w:rsidRPr="00893F05">
        <w:rPr>
          <w:rFonts w:ascii="Bookman Old Style" w:hAnsi="Bookman Old Style"/>
          <w:b/>
          <w:i/>
          <w:sz w:val="24"/>
          <w:szCs w:val="24"/>
        </w:rPr>
        <w:t xml:space="preserve"> </w:t>
      </w:r>
      <w:r w:rsidRPr="00893F05">
        <w:rPr>
          <w:rFonts w:ascii="Bookman Old Style" w:hAnsi="Bookman Old Style"/>
          <w:sz w:val="24"/>
          <w:szCs w:val="24"/>
        </w:rPr>
        <w:t>the Supreme Court held that instead of being dismissed, wrongly commenced proceedings should be treated as if they had been commenced by Writ of Summons. In Ludwig a</w:t>
      </w:r>
      <w:r w:rsidRPr="00893F05">
        <w:rPr>
          <w:rFonts w:ascii="Bookman Old Style" w:hAnsi="Bookman Old Style"/>
          <w:sz w:val="24"/>
          <w:szCs w:val="24"/>
        </w:rPr>
        <w:t xml:space="preserve"> Writ of Summons could be said to be the default or main mode by which civil proceedings are institutional. The rest of the modes are only used where they ate provided for. The following are the different modes by which civil proceedings may be commenced: -</w:t>
      </w:r>
    </w:p>
    <w:p w:rsidR="00893F05" w:rsidRPr="00893F05" w:rsidRDefault="00893F05" w:rsidP="00893F05">
      <w:pPr>
        <w:spacing w:line="360" w:lineRule="auto"/>
        <w:jc w:val="both"/>
        <w:rPr>
          <w:rFonts w:ascii="Bookman Old Style" w:hAnsi="Bookman Old Style"/>
          <w:b/>
          <w:i/>
          <w:sz w:val="24"/>
          <w:szCs w:val="24"/>
        </w:rPr>
      </w:pPr>
      <w:r w:rsidRPr="00893F05">
        <w:rPr>
          <w:rFonts w:ascii="Bookman Old Style" w:hAnsi="Bookman Old Style"/>
          <w:sz w:val="24"/>
          <w:szCs w:val="24"/>
        </w:rPr>
        <w:t>The position in</w:t>
      </w:r>
      <w:r>
        <w:rPr>
          <w:rFonts w:ascii="Bookman Old Style" w:hAnsi="Bookman Old Style"/>
          <w:b/>
          <w:i/>
          <w:sz w:val="24"/>
          <w:szCs w:val="24"/>
        </w:rPr>
        <w:t xml:space="preserve"> </w:t>
      </w:r>
      <w:r w:rsidRPr="00893F05">
        <w:rPr>
          <w:rFonts w:ascii="Bookman Old Style" w:hAnsi="Bookman Old Style"/>
          <w:b/>
          <w:i/>
          <w:sz w:val="24"/>
          <w:szCs w:val="24"/>
        </w:rPr>
        <w:t>Road Transport and Safety Agency v First National Bank Zambia Limited</w:t>
      </w:r>
      <w:r>
        <w:rPr>
          <w:rFonts w:ascii="Bookman Old Style" w:hAnsi="Bookman Old Style"/>
          <w:b/>
          <w:i/>
          <w:sz w:val="24"/>
          <w:szCs w:val="24"/>
        </w:rPr>
        <w:t xml:space="preserve"> and </w:t>
      </w:r>
      <w:r w:rsidRPr="00893F05">
        <w:rPr>
          <w:rFonts w:ascii="Bookman Old Style" w:hAnsi="Bookman Old Style"/>
          <w:b/>
          <w:i/>
          <w:sz w:val="24"/>
          <w:szCs w:val="24"/>
        </w:rPr>
        <w:t xml:space="preserve">Ludwig </w:t>
      </w:r>
      <w:proofErr w:type="spellStart"/>
      <w:r w:rsidRPr="00893F05">
        <w:rPr>
          <w:rFonts w:ascii="Bookman Old Style" w:hAnsi="Bookman Old Style"/>
          <w:b/>
          <w:i/>
          <w:sz w:val="24"/>
          <w:szCs w:val="24"/>
        </w:rPr>
        <w:t>Sondashi</w:t>
      </w:r>
      <w:proofErr w:type="spellEnd"/>
      <w:r w:rsidRPr="00893F05">
        <w:rPr>
          <w:rFonts w:ascii="Bookman Old Style" w:hAnsi="Bookman Old Style"/>
          <w:b/>
          <w:i/>
          <w:sz w:val="24"/>
          <w:szCs w:val="24"/>
        </w:rPr>
        <w:t xml:space="preserve"> v Godfrey </w:t>
      </w:r>
      <w:proofErr w:type="spellStart"/>
      <w:r w:rsidRPr="00893F05">
        <w:rPr>
          <w:rFonts w:ascii="Bookman Old Style" w:hAnsi="Bookman Old Style"/>
          <w:b/>
          <w:i/>
          <w:sz w:val="24"/>
          <w:szCs w:val="24"/>
        </w:rPr>
        <w:t>Miyanda</w:t>
      </w:r>
      <w:proofErr w:type="spellEnd"/>
      <w:r>
        <w:rPr>
          <w:rFonts w:ascii="Bookman Old Style" w:hAnsi="Bookman Old Style"/>
          <w:b/>
          <w:i/>
          <w:sz w:val="24"/>
          <w:szCs w:val="24"/>
        </w:rPr>
        <w:t xml:space="preserve"> </w:t>
      </w:r>
      <w:r w:rsidRPr="00893F05">
        <w:rPr>
          <w:rFonts w:ascii="Bookman Old Style" w:hAnsi="Bookman Old Style"/>
          <w:sz w:val="24"/>
          <w:szCs w:val="24"/>
        </w:rPr>
        <w:t>seem to go in</w:t>
      </w:r>
      <w:r>
        <w:rPr>
          <w:rFonts w:ascii="Bookman Old Style" w:hAnsi="Bookman Old Style"/>
          <w:b/>
          <w:i/>
          <w:sz w:val="24"/>
          <w:szCs w:val="24"/>
        </w:rPr>
        <w:t xml:space="preserve"> </w:t>
      </w:r>
      <w:r w:rsidRPr="00893F05">
        <w:rPr>
          <w:rFonts w:ascii="Bookman Old Style" w:hAnsi="Bookman Old Style"/>
          <w:sz w:val="24"/>
          <w:szCs w:val="24"/>
        </w:rPr>
        <w:t xml:space="preserve">line with Article 118 (2)(e) of the Constitution because it seem to provide justice. </w:t>
      </w:r>
      <w:r w:rsidRPr="00893F05">
        <w:rPr>
          <w:rFonts w:ascii="Bookman Old Style" w:hAnsi="Bookman Old Style"/>
          <w:sz w:val="24"/>
          <w:szCs w:val="24"/>
        </w:rPr>
        <w:t xml:space="preserve">In Henry </w:t>
      </w:r>
      <w:proofErr w:type="spellStart"/>
      <w:r w:rsidRPr="00893F05">
        <w:rPr>
          <w:rFonts w:ascii="Bookman Old Style" w:hAnsi="Bookman Old Style"/>
          <w:sz w:val="24"/>
          <w:szCs w:val="24"/>
        </w:rPr>
        <w:t>Kapoko</w:t>
      </w:r>
      <w:proofErr w:type="spellEnd"/>
      <w:r w:rsidRPr="00893F05">
        <w:rPr>
          <w:rFonts w:ascii="Bookman Old Style" w:hAnsi="Bookman Old Style"/>
          <w:sz w:val="24"/>
          <w:szCs w:val="24"/>
        </w:rPr>
        <w:t xml:space="preserve"> v The People, Selected Judgement No. 43 of 2016, the Constitutional Court opined;</w:t>
      </w:r>
    </w:p>
    <w:p w:rsidR="00893F05" w:rsidRDefault="00893F05" w:rsidP="00893F05">
      <w:pPr>
        <w:spacing w:line="360" w:lineRule="auto"/>
        <w:jc w:val="both"/>
        <w:rPr>
          <w:rFonts w:ascii="Bookman Old Style" w:hAnsi="Bookman Old Style"/>
          <w:i/>
          <w:sz w:val="24"/>
          <w:szCs w:val="24"/>
        </w:rPr>
      </w:pPr>
      <w:r w:rsidRPr="00893F05">
        <w:rPr>
          <w:rFonts w:ascii="Bookman Old Style" w:hAnsi="Bookman Old Style"/>
          <w:i/>
          <w:sz w:val="24"/>
          <w:szCs w:val="24"/>
        </w:rPr>
        <w:t>‘Article 118(2</w:t>
      </w:r>
      <w:proofErr w:type="gramStart"/>
      <w:r w:rsidRPr="00893F05">
        <w:rPr>
          <w:rFonts w:ascii="Bookman Old Style" w:hAnsi="Bookman Old Style"/>
          <w:i/>
          <w:sz w:val="24"/>
          <w:szCs w:val="24"/>
        </w:rPr>
        <w:t>)(</w:t>
      </w:r>
      <w:proofErr w:type="gramEnd"/>
      <w:r w:rsidRPr="00893F05">
        <w:rPr>
          <w:rFonts w:ascii="Bookman Old Style" w:hAnsi="Bookman Old Style"/>
          <w:i/>
          <w:sz w:val="24"/>
          <w:szCs w:val="24"/>
        </w:rPr>
        <w:t>e) is not intended to do away with existing principles, laws and procedures, even where the same constitute technicalities. It is intended to avoid a situation where a manifest injustice would be done by paying unjustifiable regard to a technicality’.</w:t>
      </w:r>
    </w:p>
    <w:p w:rsidR="00893F05" w:rsidRPr="00893F05" w:rsidRDefault="00893F05" w:rsidP="00893F05">
      <w:pPr>
        <w:spacing w:line="360" w:lineRule="auto"/>
        <w:jc w:val="both"/>
        <w:rPr>
          <w:rFonts w:ascii="Bookman Old Style" w:hAnsi="Bookman Old Style"/>
          <w:sz w:val="24"/>
          <w:szCs w:val="24"/>
        </w:rPr>
      </w:pPr>
      <w:r w:rsidRPr="00893F05">
        <w:rPr>
          <w:rFonts w:ascii="Bookman Old Style" w:hAnsi="Bookman Old Style"/>
          <w:sz w:val="24"/>
          <w:szCs w:val="24"/>
        </w:rPr>
        <w:t xml:space="preserve">CONCLUSION </w:t>
      </w:r>
    </w:p>
    <w:p w:rsidR="00893F05" w:rsidRPr="00893F05" w:rsidRDefault="00893F05" w:rsidP="00893F05">
      <w:pPr>
        <w:spacing w:line="360" w:lineRule="auto"/>
        <w:jc w:val="both"/>
        <w:rPr>
          <w:rFonts w:ascii="Bookman Old Style" w:hAnsi="Bookman Old Style"/>
          <w:sz w:val="24"/>
          <w:szCs w:val="24"/>
        </w:rPr>
      </w:pPr>
      <w:r w:rsidRPr="00893F05">
        <w:rPr>
          <w:rFonts w:ascii="Bookman Old Style" w:hAnsi="Bookman Old Style"/>
          <w:sz w:val="24"/>
          <w:szCs w:val="24"/>
        </w:rPr>
        <w:t>The case of</w:t>
      </w:r>
      <w:r w:rsidRPr="00893F05">
        <w:rPr>
          <w:rFonts w:ascii="Bookman Old Style" w:hAnsi="Bookman Old Style"/>
          <w:b/>
          <w:sz w:val="24"/>
          <w:szCs w:val="24"/>
        </w:rPr>
        <w:t xml:space="preserve"> </w:t>
      </w:r>
      <w:r w:rsidRPr="00893F05">
        <w:rPr>
          <w:rFonts w:ascii="Bookman Old Style" w:hAnsi="Bookman Old Style"/>
          <w:b/>
          <w:i/>
          <w:sz w:val="24"/>
          <w:szCs w:val="24"/>
        </w:rPr>
        <w:t xml:space="preserve">Road Transport and Safety Agency v First National Bank Zambia Limited </w:t>
      </w:r>
      <w:r w:rsidRPr="00893F05">
        <w:rPr>
          <w:rFonts w:ascii="Bookman Old Style" w:hAnsi="Bookman Old Style"/>
          <w:sz w:val="24"/>
          <w:szCs w:val="24"/>
        </w:rPr>
        <w:t>clearly opposes the decision in</w:t>
      </w:r>
      <w:r w:rsidRPr="00893F05">
        <w:rPr>
          <w:rFonts w:ascii="Bookman Old Style" w:hAnsi="Bookman Old Style"/>
          <w:i/>
          <w:sz w:val="24"/>
          <w:szCs w:val="24"/>
        </w:rPr>
        <w:t xml:space="preserve"> </w:t>
      </w:r>
      <w:r w:rsidRPr="00893F05">
        <w:rPr>
          <w:rFonts w:ascii="Bookman Old Style" w:hAnsi="Bookman Old Style"/>
          <w:b/>
          <w:i/>
          <w:sz w:val="24"/>
          <w:szCs w:val="24"/>
        </w:rPr>
        <w:t>Chikuta</w:t>
      </w:r>
      <w:r>
        <w:rPr>
          <w:rFonts w:ascii="Bookman Old Style" w:hAnsi="Bookman Old Style"/>
          <w:b/>
          <w:i/>
          <w:sz w:val="24"/>
          <w:szCs w:val="24"/>
        </w:rPr>
        <w:t>’s</w:t>
      </w:r>
      <w:r w:rsidRPr="00893F05">
        <w:rPr>
          <w:rFonts w:ascii="Bookman Old Style" w:hAnsi="Bookman Old Style"/>
          <w:b/>
          <w:i/>
          <w:sz w:val="24"/>
          <w:szCs w:val="24"/>
        </w:rPr>
        <w:t xml:space="preserve"> </w:t>
      </w:r>
      <w:r w:rsidRPr="00893F05">
        <w:rPr>
          <w:rFonts w:ascii="Bookman Old Style" w:hAnsi="Bookman Old Style"/>
          <w:sz w:val="24"/>
          <w:szCs w:val="24"/>
        </w:rPr>
        <w:t xml:space="preserve">case because it states that the mode of commencement of an action can be the claim or endorsement which is not the case in Chikuta because its states that where an Act of Parliament has specifically laid down the method by which proceedings must be begun, whether by writ, an originating summons or an originating notice of motion, there is no choice on which procedure to adopt. In Chikutas case the court has no jurisdiction to hear wrongly commenced while in RATSA v FNBZ the court has Jurisdiction. </w:t>
      </w:r>
    </w:p>
    <w:p w:rsidR="00893F05" w:rsidRPr="00893F05" w:rsidRDefault="00893F05" w:rsidP="00893F05">
      <w:pPr>
        <w:spacing w:line="360" w:lineRule="auto"/>
        <w:jc w:val="both"/>
        <w:rPr>
          <w:rFonts w:ascii="Bookman Old Style" w:hAnsi="Bookman Old Style"/>
          <w:sz w:val="24"/>
          <w:szCs w:val="24"/>
        </w:rPr>
      </w:pPr>
      <w:r w:rsidRPr="00893F05">
        <w:rPr>
          <w:rFonts w:ascii="Bookman Old Style" w:hAnsi="Bookman Old Style"/>
          <w:sz w:val="24"/>
          <w:szCs w:val="24"/>
        </w:rPr>
        <w:lastRenderedPageBreak/>
        <w:t>The position in</w:t>
      </w:r>
      <w:r w:rsidRPr="00893F05">
        <w:rPr>
          <w:rFonts w:ascii="Bookman Old Style" w:hAnsi="Bookman Old Style"/>
          <w:b/>
          <w:i/>
          <w:sz w:val="24"/>
          <w:szCs w:val="24"/>
        </w:rPr>
        <w:t xml:space="preserve"> RATSA V FNBZ</w:t>
      </w:r>
      <w:r>
        <w:rPr>
          <w:rFonts w:ascii="Bookman Old Style" w:hAnsi="Bookman Old Style"/>
          <w:b/>
          <w:i/>
          <w:sz w:val="24"/>
          <w:szCs w:val="24"/>
        </w:rPr>
        <w:t xml:space="preserve"> </w:t>
      </w:r>
      <w:r w:rsidRPr="00893F05">
        <w:rPr>
          <w:rFonts w:ascii="Bookman Old Style" w:hAnsi="Bookman Old Style"/>
          <w:i/>
          <w:sz w:val="24"/>
          <w:szCs w:val="24"/>
        </w:rPr>
        <w:t>i</w:t>
      </w:r>
      <w:r w:rsidRPr="00893F05">
        <w:rPr>
          <w:rFonts w:ascii="Bookman Old Style" w:hAnsi="Bookman Old Style"/>
          <w:sz w:val="24"/>
          <w:szCs w:val="24"/>
        </w:rPr>
        <w:t>t is trite law kills the harshness of the law in that instead of the matter been thrown away because the mode which was used was based on the claim, it now gives jurisdiction to the courts to hear the matter.</w:t>
      </w: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p>
    <w:p w:rsidR="00893F05" w:rsidRDefault="00893F05" w:rsidP="00893F05">
      <w:pPr>
        <w:spacing w:line="360" w:lineRule="auto"/>
        <w:jc w:val="both"/>
        <w:rPr>
          <w:rFonts w:ascii="Bookman Old Style" w:hAnsi="Bookman Old Style"/>
          <w:i/>
          <w:sz w:val="24"/>
          <w:szCs w:val="24"/>
        </w:rPr>
      </w:pPr>
      <w:r>
        <w:rPr>
          <w:rFonts w:ascii="Bookman Old Style" w:hAnsi="Bookman Old Style"/>
          <w:i/>
          <w:sz w:val="24"/>
          <w:szCs w:val="24"/>
        </w:rPr>
        <w:lastRenderedPageBreak/>
        <w:t xml:space="preserve">BIBLIOGRATHY </w:t>
      </w:r>
    </w:p>
    <w:p w:rsidR="00893F05" w:rsidRDefault="00893F05" w:rsidP="00893F05">
      <w:pPr>
        <w:spacing w:line="360" w:lineRule="auto"/>
        <w:jc w:val="both"/>
        <w:rPr>
          <w:rFonts w:ascii="Bookman Old Style" w:hAnsi="Bookman Old Style"/>
          <w:i/>
          <w:sz w:val="24"/>
          <w:szCs w:val="24"/>
        </w:rPr>
      </w:pPr>
      <w:r>
        <w:rPr>
          <w:rFonts w:ascii="Bookman Old Style" w:hAnsi="Bookman Old Style"/>
          <w:i/>
          <w:sz w:val="24"/>
          <w:szCs w:val="24"/>
        </w:rPr>
        <w:t xml:space="preserve">STATUTES </w:t>
      </w:r>
    </w:p>
    <w:p w:rsidR="00893F05" w:rsidRPr="00893F05" w:rsidRDefault="00893F05" w:rsidP="00893F05">
      <w:pPr>
        <w:pStyle w:val="ListParagraph"/>
        <w:numPr>
          <w:ilvl w:val="0"/>
          <w:numId w:val="1"/>
        </w:numPr>
        <w:tabs>
          <w:tab w:val="left" w:pos="426"/>
        </w:tabs>
        <w:spacing w:after="0" w:line="360" w:lineRule="auto"/>
        <w:ind w:right="288"/>
        <w:jc w:val="both"/>
        <w:rPr>
          <w:rFonts w:ascii="Bookman Old Style" w:eastAsia="Times New Roman" w:hAnsi="Bookman Old Style" w:cs="Andalus"/>
          <w:sz w:val="24"/>
          <w:szCs w:val="24"/>
          <w:lang w:val="en-GB"/>
        </w:rPr>
      </w:pPr>
      <w:r w:rsidRPr="00893F05">
        <w:rPr>
          <w:rFonts w:ascii="Bookman Old Style" w:eastAsia="Times New Roman" w:hAnsi="Bookman Old Style" w:cs="Andalus"/>
          <w:sz w:val="24"/>
          <w:szCs w:val="24"/>
          <w:lang w:val="en-GB"/>
        </w:rPr>
        <w:t xml:space="preserve">High Court Act Cap 27 of the Laws of Zambia </w:t>
      </w:r>
    </w:p>
    <w:p w:rsidR="00893F05" w:rsidRPr="00893F05" w:rsidRDefault="00893F05" w:rsidP="00893F05">
      <w:pPr>
        <w:tabs>
          <w:tab w:val="left" w:pos="426"/>
        </w:tabs>
        <w:spacing w:after="0" w:line="360" w:lineRule="auto"/>
        <w:ind w:left="450" w:right="288" w:hanging="450"/>
        <w:jc w:val="both"/>
        <w:rPr>
          <w:rFonts w:ascii="Bookman Old Style" w:eastAsia="Times New Roman" w:hAnsi="Bookman Old Style" w:cs="Andalus"/>
          <w:sz w:val="24"/>
          <w:szCs w:val="24"/>
          <w:lang w:val="en-GB"/>
        </w:rPr>
      </w:pPr>
      <w:r>
        <w:rPr>
          <w:rFonts w:ascii="Bookman Old Style" w:eastAsia="Times New Roman" w:hAnsi="Bookman Old Style" w:cs="Arial"/>
          <w:sz w:val="24"/>
          <w:szCs w:val="24"/>
          <w:lang w:val="en-GB"/>
        </w:rPr>
        <w:t xml:space="preserve">      </w:t>
      </w:r>
      <w:r w:rsidRPr="00893F05">
        <w:rPr>
          <w:rFonts w:ascii="Bookman Old Style" w:eastAsia="Times New Roman" w:hAnsi="Bookman Old Style" w:cs="Arial"/>
          <w:sz w:val="24"/>
          <w:szCs w:val="24"/>
          <w:lang w:val="en-GB"/>
        </w:rPr>
        <w:t>●</w:t>
      </w:r>
      <w:r>
        <w:rPr>
          <w:rFonts w:ascii="Bookman Old Style" w:eastAsia="Times New Roman" w:hAnsi="Bookman Old Style" w:cs="Arial"/>
          <w:sz w:val="24"/>
          <w:szCs w:val="24"/>
          <w:lang w:val="en-GB"/>
        </w:rPr>
        <w:t xml:space="preserve">   </w:t>
      </w:r>
      <w:r w:rsidRPr="00893F05">
        <w:rPr>
          <w:rFonts w:ascii="Bookman Old Style" w:eastAsia="Times New Roman" w:hAnsi="Bookman Old Style" w:cs="Andalus"/>
          <w:sz w:val="24"/>
          <w:szCs w:val="24"/>
          <w:lang w:val="en-GB"/>
        </w:rPr>
        <w:t>Subordinate Court Act Cap 28 of the Laws of Zambia</w:t>
      </w:r>
    </w:p>
    <w:p w:rsidR="00893F05" w:rsidRDefault="00893F05" w:rsidP="00893F05">
      <w:pPr>
        <w:spacing w:line="360" w:lineRule="auto"/>
        <w:jc w:val="both"/>
        <w:rPr>
          <w:rFonts w:ascii="Bookman Old Style" w:hAnsi="Bookman Old Style"/>
          <w:i/>
          <w:sz w:val="24"/>
          <w:szCs w:val="24"/>
        </w:rPr>
      </w:pPr>
      <w:r>
        <w:rPr>
          <w:rFonts w:ascii="Bookman Old Style" w:hAnsi="Bookman Old Style"/>
          <w:i/>
          <w:sz w:val="24"/>
          <w:szCs w:val="24"/>
        </w:rPr>
        <w:t>CASES</w:t>
      </w:r>
    </w:p>
    <w:p w:rsidR="00893F05" w:rsidRDefault="00893F05" w:rsidP="00893F05">
      <w:pPr>
        <w:pStyle w:val="ListParagraph"/>
        <w:numPr>
          <w:ilvl w:val="0"/>
          <w:numId w:val="1"/>
        </w:numPr>
        <w:spacing w:line="360" w:lineRule="auto"/>
        <w:jc w:val="both"/>
        <w:rPr>
          <w:rFonts w:ascii="Bookman Old Style" w:hAnsi="Bookman Old Style"/>
          <w:i/>
          <w:sz w:val="24"/>
          <w:szCs w:val="24"/>
        </w:rPr>
      </w:pPr>
      <w:r w:rsidRPr="00893F05">
        <w:rPr>
          <w:rFonts w:ascii="Bookman Old Style" w:hAnsi="Bookman Old Style"/>
          <w:i/>
          <w:sz w:val="24"/>
          <w:szCs w:val="24"/>
        </w:rPr>
        <w:t xml:space="preserve">Barclays Bank (Zambia) ltd v </w:t>
      </w:r>
      <w:proofErr w:type="spellStart"/>
      <w:r w:rsidRPr="00893F05">
        <w:rPr>
          <w:rFonts w:ascii="Bookman Old Style" w:hAnsi="Bookman Old Style"/>
          <w:i/>
          <w:sz w:val="24"/>
          <w:szCs w:val="24"/>
        </w:rPr>
        <w:t>Walisko</w:t>
      </w:r>
      <w:proofErr w:type="spellEnd"/>
      <w:r w:rsidRPr="00893F05">
        <w:rPr>
          <w:rFonts w:ascii="Bookman Old Style" w:hAnsi="Bookman Old Style"/>
          <w:i/>
          <w:sz w:val="24"/>
          <w:szCs w:val="24"/>
        </w:rPr>
        <w:t xml:space="preserve"> and Company and Mohamed </w:t>
      </w:r>
      <w:proofErr w:type="spellStart"/>
      <w:r w:rsidRPr="00893F05">
        <w:rPr>
          <w:rFonts w:ascii="Bookman Old Style" w:hAnsi="Bookman Old Style"/>
          <w:i/>
          <w:sz w:val="24"/>
          <w:szCs w:val="24"/>
        </w:rPr>
        <w:t>Ashrof</w:t>
      </w:r>
      <w:proofErr w:type="spellEnd"/>
      <w:r w:rsidRPr="00893F05">
        <w:rPr>
          <w:rFonts w:ascii="Bookman Old Style" w:hAnsi="Bookman Old Style"/>
          <w:i/>
          <w:sz w:val="24"/>
          <w:szCs w:val="24"/>
        </w:rPr>
        <w:t xml:space="preserve"> </w:t>
      </w:r>
      <w:proofErr w:type="spellStart"/>
      <w:r w:rsidRPr="00893F05">
        <w:rPr>
          <w:rFonts w:ascii="Bookman Old Style" w:hAnsi="Bookman Old Style"/>
          <w:i/>
          <w:sz w:val="24"/>
          <w:szCs w:val="24"/>
        </w:rPr>
        <w:t>Manso</w:t>
      </w:r>
      <w:r>
        <w:rPr>
          <w:rFonts w:ascii="Bookman Old Style" w:hAnsi="Bookman Old Style"/>
          <w:i/>
          <w:sz w:val="24"/>
          <w:szCs w:val="24"/>
        </w:rPr>
        <w:t>or</w:t>
      </w:r>
      <w:proofErr w:type="spellEnd"/>
      <w:r>
        <w:rPr>
          <w:rFonts w:ascii="Bookman Old Style" w:hAnsi="Bookman Old Style"/>
          <w:i/>
          <w:sz w:val="24"/>
          <w:szCs w:val="24"/>
        </w:rPr>
        <w:t xml:space="preserve"> (1980) ZR 7 9-10 per </w:t>
      </w:r>
    </w:p>
    <w:p w:rsidR="00893F05" w:rsidRDefault="00893F05" w:rsidP="00893F05">
      <w:pPr>
        <w:pStyle w:val="ListParagraph"/>
        <w:numPr>
          <w:ilvl w:val="0"/>
          <w:numId w:val="1"/>
        </w:numPr>
        <w:spacing w:line="360" w:lineRule="auto"/>
        <w:jc w:val="both"/>
        <w:rPr>
          <w:rFonts w:ascii="Bookman Old Style" w:hAnsi="Bookman Old Style"/>
          <w:i/>
          <w:sz w:val="24"/>
          <w:szCs w:val="24"/>
        </w:rPr>
      </w:pPr>
      <w:r w:rsidRPr="00893F05">
        <w:rPr>
          <w:rFonts w:ascii="Bookman Old Style" w:hAnsi="Bookman Old Style"/>
          <w:i/>
          <w:sz w:val="24"/>
          <w:szCs w:val="24"/>
        </w:rPr>
        <w:t xml:space="preserve">Chikuta V </w:t>
      </w:r>
      <w:proofErr w:type="spellStart"/>
      <w:r w:rsidRPr="00893F05">
        <w:rPr>
          <w:rFonts w:ascii="Bookman Old Style" w:hAnsi="Bookman Old Style"/>
          <w:i/>
          <w:sz w:val="24"/>
          <w:szCs w:val="24"/>
        </w:rPr>
        <w:t>Chipata</w:t>
      </w:r>
      <w:proofErr w:type="spellEnd"/>
      <w:r w:rsidRPr="00893F05">
        <w:rPr>
          <w:rFonts w:ascii="Bookman Old Style" w:hAnsi="Bookman Old Style"/>
          <w:i/>
          <w:sz w:val="24"/>
          <w:szCs w:val="24"/>
        </w:rPr>
        <w:t xml:space="preserve"> Rural Council </w:t>
      </w:r>
      <w:r w:rsidRPr="00893F05">
        <w:rPr>
          <w:rFonts w:ascii="Bookman Old Style" w:hAnsi="Bookman Old Style"/>
          <w:i/>
          <w:sz w:val="24"/>
          <w:szCs w:val="24"/>
        </w:rPr>
        <w:t>(1974) ZR 241 (SC)</w:t>
      </w:r>
    </w:p>
    <w:p w:rsidR="00893F05" w:rsidRDefault="00893F05" w:rsidP="00893F05">
      <w:pPr>
        <w:pStyle w:val="ListParagraph"/>
        <w:numPr>
          <w:ilvl w:val="0"/>
          <w:numId w:val="1"/>
        </w:numPr>
        <w:spacing w:line="360" w:lineRule="auto"/>
        <w:jc w:val="both"/>
        <w:rPr>
          <w:rFonts w:ascii="Bookman Old Style" w:hAnsi="Bookman Old Style"/>
          <w:i/>
          <w:sz w:val="24"/>
          <w:szCs w:val="24"/>
        </w:rPr>
      </w:pPr>
      <w:r w:rsidRPr="00893F05">
        <w:rPr>
          <w:rFonts w:ascii="Bookman Old Style" w:hAnsi="Bookman Old Style"/>
          <w:i/>
          <w:sz w:val="24"/>
          <w:szCs w:val="24"/>
        </w:rPr>
        <w:t xml:space="preserve">New </w:t>
      </w:r>
      <w:proofErr w:type="spellStart"/>
      <w:r w:rsidRPr="00893F05">
        <w:rPr>
          <w:rFonts w:ascii="Bookman Old Style" w:hAnsi="Bookman Old Style"/>
          <w:i/>
          <w:sz w:val="24"/>
          <w:szCs w:val="24"/>
        </w:rPr>
        <w:t>Plast</w:t>
      </w:r>
      <w:proofErr w:type="spellEnd"/>
      <w:r w:rsidRPr="00893F05">
        <w:rPr>
          <w:rFonts w:ascii="Bookman Old Style" w:hAnsi="Bookman Old Style"/>
          <w:i/>
          <w:sz w:val="24"/>
          <w:szCs w:val="24"/>
        </w:rPr>
        <w:t xml:space="preserve"> Industries v The Commissioner of Lands and the AG (2001)3  ZR 51 (SC)</w:t>
      </w:r>
    </w:p>
    <w:p w:rsidR="00893F05" w:rsidRDefault="00893F05" w:rsidP="00893F05">
      <w:pPr>
        <w:pStyle w:val="ListParagraph"/>
        <w:numPr>
          <w:ilvl w:val="0"/>
          <w:numId w:val="1"/>
        </w:numPr>
        <w:spacing w:line="360" w:lineRule="auto"/>
        <w:jc w:val="both"/>
        <w:rPr>
          <w:rFonts w:ascii="Bookman Old Style" w:hAnsi="Bookman Old Style"/>
          <w:i/>
          <w:sz w:val="24"/>
          <w:szCs w:val="24"/>
        </w:rPr>
      </w:pPr>
      <w:proofErr w:type="spellStart"/>
      <w:r w:rsidRPr="00893F05">
        <w:rPr>
          <w:rFonts w:ascii="Bookman Old Style" w:hAnsi="Bookman Old Style"/>
          <w:i/>
          <w:sz w:val="24"/>
          <w:szCs w:val="24"/>
        </w:rPr>
        <w:t>Bp</w:t>
      </w:r>
      <w:proofErr w:type="spellEnd"/>
      <w:r w:rsidRPr="00893F05">
        <w:rPr>
          <w:rFonts w:ascii="Bookman Old Style" w:hAnsi="Bookman Old Style"/>
          <w:i/>
          <w:sz w:val="24"/>
          <w:szCs w:val="24"/>
        </w:rPr>
        <w:t xml:space="preserve"> Zambia Plc v Zambia Competitio</w:t>
      </w:r>
      <w:r>
        <w:rPr>
          <w:rFonts w:ascii="Bookman Old Style" w:hAnsi="Bookman Old Style"/>
          <w:i/>
          <w:sz w:val="24"/>
          <w:szCs w:val="24"/>
        </w:rPr>
        <w:t xml:space="preserve">n Commission and Another (2011) </w:t>
      </w:r>
      <w:r w:rsidRPr="00893F05">
        <w:rPr>
          <w:rFonts w:ascii="Bookman Old Style" w:hAnsi="Bookman Old Style"/>
          <w:i/>
          <w:sz w:val="24"/>
          <w:szCs w:val="24"/>
        </w:rPr>
        <w:t>Vol. 3 ZR 222</w:t>
      </w:r>
    </w:p>
    <w:p w:rsidR="00893F05" w:rsidRDefault="00893F05" w:rsidP="00893F05">
      <w:pPr>
        <w:pStyle w:val="ListParagraph"/>
        <w:numPr>
          <w:ilvl w:val="0"/>
          <w:numId w:val="1"/>
        </w:numPr>
        <w:spacing w:line="360" w:lineRule="auto"/>
        <w:jc w:val="both"/>
        <w:rPr>
          <w:rFonts w:ascii="Bookman Old Style" w:hAnsi="Bookman Old Style"/>
          <w:i/>
          <w:sz w:val="24"/>
          <w:szCs w:val="24"/>
        </w:rPr>
      </w:pPr>
      <w:proofErr w:type="spellStart"/>
      <w:r w:rsidRPr="00893F05">
        <w:rPr>
          <w:rFonts w:ascii="Bookman Old Style" w:hAnsi="Bookman Old Style"/>
          <w:i/>
          <w:sz w:val="24"/>
          <w:szCs w:val="24"/>
        </w:rPr>
        <w:t>Polytheme</w:t>
      </w:r>
      <w:proofErr w:type="spellEnd"/>
      <w:r w:rsidRPr="00893F05">
        <w:rPr>
          <w:rFonts w:ascii="Bookman Old Style" w:hAnsi="Bookman Old Style"/>
          <w:i/>
          <w:sz w:val="24"/>
          <w:szCs w:val="24"/>
        </w:rPr>
        <w:t xml:space="preserve"> Products (Zambia) Ltd v Cyclone Hardware Construction Ltd and Another (2012) Vol 3. ZR 396 404</w:t>
      </w:r>
    </w:p>
    <w:p w:rsidR="00893F05" w:rsidRDefault="00893F05" w:rsidP="00893F05">
      <w:pPr>
        <w:pStyle w:val="ListParagraph"/>
        <w:numPr>
          <w:ilvl w:val="0"/>
          <w:numId w:val="1"/>
        </w:numPr>
        <w:spacing w:line="360" w:lineRule="auto"/>
        <w:jc w:val="both"/>
        <w:rPr>
          <w:rFonts w:ascii="Bookman Old Style" w:hAnsi="Bookman Old Style"/>
          <w:i/>
          <w:sz w:val="24"/>
          <w:szCs w:val="24"/>
        </w:rPr>
      </w:pPr>
      <w:r w:rsidRPr="00893F05">
        <w:rPr>
          <w:rFonts w:ascii="Bookman Old Style" w:hAnsi="Bookman Old Style"/>
          <w:i/>
          <w:sz w:val="24"/>
          <w:szCs w:val="24"/>
        </w:rPr>
        <w:t>Road Transport and Safety Agency v First National Bank Zambia Limited</w:t>
      </w:r>
      <w:r>
        <w:rPr>
          <w:rFonts w:ascii="Bookman Old Style" w:hAnsi="Bookman Old Style"/>
          <w:i/>
          <w:sz w:val="24"/>
          <w:szCs w:val="24"/>
        </w:rPr>
        <w:t xml:space="preserve"> (2001) ZR 51</w:t>
      </w:r>
    </w:p>
    <w:p w:rsidR="00893F05" w:rsidRPr="00893F05" w:rsidRDefault="00893F05" w:rsidP="00893F05">
      <w:pPr>
        <w:pStyle w:val="ListParagraph"/>
        <w:numPr>
          <w:ilvl w:val="0"/>
          <w:numId w:val="1"/>
        </w:numPr>
        <w:spacing w:line="360" w:lineRule="auto"/>
        <w:jc w:val="both"/>
        <w:rPr>
          <w:rFonts w:ascii="Bookman Old Style" w:hAnsi="Bookman Old Style"/>
          <w:i/>
          <w:sz w:val="24"/>
          <w:szCs w:val="24"/>
        </w:rPr>
      </w:pPr>
      <w:r w:rsidRPr="00893F05">
        <w:rPr>
          <w:rFonts w:ascii="Bookman Old Style" w:hAnsi="Bookman Old Style"/>
          <w:i/>
          <w:sz w:val="24"/>
          <w:szCs w:val="24"/>
        </w:rPr>
        <w:t xml:space="preserve">Ludwig </w:t>
      </w:r>
      <w:proofErr w:type="spellStart"/>
      <w:r w:rsidRPr="00893F05">
        <w:rPr>
          <w:rFonts w:ascii="Bookman Old Style" w:hAnsi="Bookman Old Style"/>
          <w:i/>
          <w:sz w:val="24"/>
          <w:szCs w:val="24"/>
        </w:rPr>
        <w:t>Sondashi</w:t>
      </w:r>
      <w:proofErr w:type="spellEnd"/>
      <w:r w:rsidRPr="00893F05">
        <w:rPr>
          <w:rFonts w:ascii="Bookman Old Style" w:hAnsi="Bookman Old Style"/>
          <w:i/>
          <w:sz w:val="24"/>
          <w:szCs w:val="24"/>
        </w:rPr>
        <w:t xml:space="preserve"> v Godfrey </w:t>
      </w:r>
      <w:proofErr w:type="spellStart"/>
      <w:r w:rsidRPr="00893F05">
        <w:rPr>
          <w:rFonts w:ascii="Bookman Old Style" w:hAnsi="Bookman Old Style"/>
          <w:i/>
          <w:sz w:val="24"/>
          <w:szCs w:val="24"/>
        </w:rPr>
        <w:t>Miyanda</w:t>
      </w:r>
      <w:proofErr w:type="spellEnd"/>
      <w:r w:rsidRPr="00893F05">
        <w:rPr>
          <w:rFonts w:ascii="Bookman Old Style" w:hAnsi="Bookman Old Style"/>
          <w:i/>
          <w:sz w:val="24"/>
          <w:szCs w:val="24"/>
        </w:rPr>
        <w:t xml:space="preserve"> (1995-1997) ZR</w:t>
      </w:r>
    </w:p>
    <w:p w:rsidR="00893F05" w:rsidRPr="00893F05" w:rsidRDefault="00893F05" w:rsidP="00893F05">
      <w:pPr>
        <w:spacing w:line="360" w:lineRule="auto"/>
        <w:jc w:val="both"/>
        <w:rPr>
          <w:rFonts w:ascii="Bookman Old Style" w:hAnsi="Bookman Old Style"/>
          <w:i/>
          <w:sz w:val="24"/>
          <w:szCs w:val="24"/>
        </w:rPr>
      </w:pPr>
      <w:r>
        <w:rPr>
          <w:rFonts w:ascii="Bookman Old Style" w:hAnsi="Bookman Old Style"/>
          <w:i/>
          <w:sz w:val="24"/>
          <w:szCs w:val="24"/>
        </w:rPr>
        <w:t xml:space="preserve">  </w:t>
      </w:r>
    </w:p>
    <w:sectPr w:rsidR="00893F05" w:rsidRPr="00893F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4E2" w:rsidRDefault="009134E2" w:rsidP="00893F05">
      <w:pPr>
        <w:spacing w:after="0" w:line="240" w:lineRule="auto"/>
      </w:pPr>
      <w:r>
        <w:separator/>
      </w:r>
    </w:p>
  </w:endnote>
  <w:endnote w:type="continuationSeparator" w:id="0">
    <w:p w:rsidR="009134E2" w:rsidRDefault="009134E2" w:rsidP="0089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4E2" w:rsidRDefault="009134E2" w:rsidP="00893F05">
      <w:pPr>
        <w:spacing w:after="0" w:line="240" w:lineRule="auto"/>
      </w:pPr>
      <w:r>
        <w:separator/>
      </w:r>
    </w:p>
  </w:footnote>
  <w:footnote w:type="continuationSeparator" w:id="0">
    <w:p w:rsidR="009134E2" w:rsidRDefault="009134E2" w:rsidP="00893F05">
      <w:pPr>
        <w:spacing w:after="0" w:line="240" w:lineRule="auto"/>
      </w:pPr>
      <w:r>
        <w:continuationSeparator/>
      </w:r>
    </w:p>
  </w:footnote>
  <w:footnote w:id="1">
    <w:p w:rsidR="00893F05" w:rsidRDefault="00893F05">
      <w:pPr>
        <w:pStyle w:val="FootnoteText"/>
      </w:pPr>
      <w:r>
        <w:rPr>
          <w:rStyle w:val="FootnoteReference"/>
        </w:rPr>
        <w:footnoteRef/>
      </w:r>
      <w:r>
        <w:t xml:space="preserve"> Barclays Bank (Zambia) ltd v </w:t>
      </w:r>
      <w:proofErr w:type="spellStart"/>
      <w:r>
        <w:t>Walisko</w:t>
      </w:r>
      <w:proofErr w:type="spellEnd"/>
      <w:r>
        <w:t xml:space="preserve"> and Company and Mohamed </w:t>
      </w:r>
      <w:proofErr w:type="spellStart"/>
      <w:r>
        <w:t>Ashrof</w:t>
      </w:r>
      <w:proofErr w:type="spellEnd"/>
      <w:r>
        <w:t xml:space="preserve"> </w:t>
      </w:r>
      <w:proofErr w:type="spellStart"/>
      <w:r>
        <w:t>Mansoor</w:t>
      </w:r>
      <w:proofErr w:type="spellEnd"/>
      <w:r>
        <w:t xml:space="preserve"> (1980) ZR 7 9-10 per </w:t>
      </w:r>
      <w:proofErr w:type="spellStart"/>
      <w:r>
        <w:t>Sakala</w:t>
      </w:r>
      <w:proofErr w:type="spellEnd"/>
      <w:r>
        <w:t xml:space="preserve"> J</w:t>
      </w:r>
    </w:p>
  </w:footnote>
  <w:footnote w:id="2">
    <w:p w:rsidR="00893F05" w:rsidRDefault="00893F05">
      <w:pPr>
        <w:pStyle w:val="FootnoteText"/>
      </w:pPr>
      <w:r>
        <w:rPr>
          <w:rStyle w:val="FootnoteReference"/>
        </w:rPr>
        <w:footnoteRef/>
      </w:r>
      <w:r>
        <w:t xml:space="preserve"> (1974) ZR 241 (SC)</w:t>
      </w:r>
    </w:p>
  </w:footnote>
  <w:footnote w:id="3">
    <w:p w:rsidR="00893F05" w:rsidRDefault="00893F05">
      <w:pPr>
        <w:pStyle w:val="FootnoteText"/>
      </w:pPr>
      <w:r>
        <w:rPr>
          <w:rStyle w:val="FootnoteReference"/>
        </w:rPr>
        <w:footnoteRef/>
      </w:r>
      <w:r>
        <w:t xml:space="preserve"> New </w:t>
      </w:r>
      <w:proofErr w:type="spellStart"/>
      <w:r>
        <w:t>Plast</w:t>
      </w:r>
      <w:proofErr w:type="spellEnd"/>
      <w:r>
        <w:t xml:space="preserve"> Industries v The Commissioner of Lands and the AG (2001)3  ZR 51 (SC)</w:t>
      </w:r>
    </w:p>
  </w:footnote>
  <w:footnote w:id="4">
    <w:p w:rsidR="00893F05" w:rsidRDefault="00893F05">
      <w:pPr>
        <w:pStyle w:val="FootnoteText"/>
      </w:pPr>
      <w:r>
        <w:rPr>
          <w:rStyle w:val="FootnoteReference"/>
        </w:rPr>
        <w:footnoteRef/>
      </w:r>
      <w:r>
        <w:t xml:space="preserve"> </w:t>
      </w:r>
      <w:proofErr w:type="spellStart"/>
      <w:r>
        <w:t>Bp</w:t>
      </w:r>
      <w:proofErr w:type="spellEnd"/>
      <w:r>
        <w:t xml:space="preserve"> Zambia Plc v Zambia Competition Commission and Another (2011) Vol. 3 ZR 222</w:t>
      </w:r>
    </w:p>
  </w:footnote>
  <w:footnote w:id="5">
    <w:p w:rsidR="00893F05" w:rsidRDefault="00893F05">
      <w:pPr>
        <w:pStyle w:val="FootnoteText"/>
      </w:pPr>
      <w:r>
        <w:rPr>
          <w:rStyle w:val="FootnoteReference"/>
        </w:rPr>
        <w:footnoteRef/>
      </w:r>
      <w:r>
        <w:t xml:space="preserve"> </w:t>
      </w:r>
      <w:proofErr w:type="spellStart"/>
      <w:proofErr w:type="gramStart"/>
      <w:r>
        <w:t>Polytheme</w:t>
      </w:r>
      <w:proofErr w:type="spellEnd"/>
      <w:r>
        <w:t xml:space="preserve"> Products (Zambia) Ltd v Cyclone Hardware Construction Ltd and Another (2012) Vol 3.</w:t>
      </w:r>
      <w:proofErr w:type="gramEnd"/>
      <w:r>
        <w:t xml:space="preserve"> ZR 396 404</w:t>
      </w:r>
    </w:p>
  </w:footnote>
  <w:footnote w:id="6">
    <w:p w:rsidR="00893F05" w:rsidRDefault="00893F05">
      <w:pPr>
        <w:pStyle w:val="FootnoteText"/>
      </w:pPr>
      <w:r>
        <w:rPr>
          <w:rStyle w:val="FootnoteReference"/>
        </w:rPr>
        <w:footnoteRef/>
      </w:r>
      <w:r>
        <w:t xml:space="preserve"> Ibid </w:t>
      </w:r>
    </w:p>
  </w:footnote>
  <w:footnote w:id="7">
    <w:p w:rsidR="00893F05" w:rsidRDefault="00893F05">
      <w:pPr>
        <w:pStyle w:val="FootnoteText"/>
      </w:pPr>
      <w:r>
        <w:rPr>
          <w:rStyle w:val="FootnoteReference"/>
        </w:rPr>
        <w:footnoteRef/>
      </w:r>
      <w:r>
        <w:t xml:space="preserve"> High Court Act, Cap 27 s 10.</w:t>
      </w:r>
    </w:p>
  </w:footnote>
  <w:footnote w:id="8">
    <w:p w:rsidR="00893F05" w:rsidRDefault="00893F05">
      <w:pPr>
        <w:pStyle w:val="FootnoteText"/>
      </w:pPr>
      <w:r>
        <w:rPr>
          <w:rStyle w:val="FootnoteReference"/>
        </w:rPr>
        <w:footnoteRef/>
      </w:r>
      <w:r>
        <w:t xml:space="preserve"> </w:t>
      </w:r>
    </w:p>
  </w:footnote>
  <w:footnote w:id="9">
    <w:p w:rsidR="00893F05" w:rsidRDefault="00893F05">
      <w:pPr>
        <w:pStyle w:val="FootnoteText"/>
      </w:pPr>
      <w:r>
        <w:rPr>
          <w:rStyle w:val="FootnoteReference"/>
        </w:rPr>
        <w:footnoteRef/>
      </w:r>
      <w:r>
        <w:t xml:space="preserve"> </w:t>
      </w:r>
      <w:r w:rsidRPr="00893F05">
        <w:t>(SCZJ No. 8 of 2001)</w:t>
      </w:r>
    </w:p>
  </w:footnote>
  <w:footnote w:id="10">
    <w:p w:rsidR="00893F05" w:rsidRDefault="00893F05">
      <w:pPr>
        <w:pStyle w:val="FootnoteText"/>
      </w:pPr>
      <w:r>
        <w:rPr>
          <w:rStyle w:val="FootnoteReference"/>
        </w:rPr>
        <w:footnoteRef/>
      </w:r>
      <w:r>
        <w:t xml:space="preserve"> </w:t>
      </w:r>
      <w:r w:rsidRPr="00893F05">
        <w:t>2010/HP/0344</w:t>
      </w:r>
    </w:p>
  </w:footnote>
  <w:footnote w:id="11">
    <w:p w:rsidR="00893F05" w:rsidRDefault="00893F05">
      <w:pPr>
        <w:pStyle w:val="FootnoteText"/>
      </w:pPr>
      <w:r>
        <w:rPr>
          <w:rStyle w:val="FootnoteReference"/>
        </w:rPr>
        <w:footnoteRef/>
      </w:r>
      <w:r w:rsidRPr="00893F05">
        <w:t>(2001) ZR 51</w:t>
      </w:r>
      <w:r>
        <w:t xml:space="preserve"> </w:t>
      </w:r>
    </w:p>
  </w:footnote>
  <w:footnote w:id="12">
    <w:p w:rsidR="00893F05" w:rsidRDefault="00893F05">
      <w:pPr>
        <w:pStyle w:val="FootnoteText"/>
      </w:pPr>
      <w:r>
        <w:rPr>
          <w:rStyle w:val="FootnoteReference"/>
        </w:rPr>
        <w:footnoteRef/>
      </w:r>
      <w:r>
        <w:t xml:space="preserve"> (</w:t>
      </w:r>
      <w:r w:rsidRPr="00893F05">
        <w:t>1995-1997) ZR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D3656"/>
    <w:multiLevelType w:val="hybridMultilevel"/>
    <w:tmpl w:val="961A0A9C"/>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4E"/>
    <w:rsid w:val="001F34AA"/>
    <w:rsid w:val="00372870"/>
    <w:rsid w:val="00594273"/>
    <w:rsid w:val="0079134E"/>
    <w:rsid w:val="00893F05"/>
    <w:rsid w:val="009134E2"/>
    <w:rsid w:val="00C3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3F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F05"/>
    <w:rPr>
      <w:sz w:val="20"/>
      <w:szCs w:val="20"/>
    </w:rPr>
  </w:style>
  <w:style w:type="character" w:styleId="FootnoteReference">
    <w:name w:val="footnote reference"/>
    <w:basedOn w:val="DefaultParagraphFont"/>
    <w:uiPriority w:val="99"/>
    <w:semiHidden/>
    <w:unhideWhenUsed/>
    <w:rsid w:val="00893F05"/>
    <w:rPr>
      <w:vertAlign w:val="superscript"/>
    </w:rPr>
  </w:style>
  <w:style w:type="paragraph" w:styleId="ListParagraph">
    <w:name w:val="List Paragraph"/>
    <w:basedOn w:val="Normal"/>
    <w:uiPriority w:val="34"/>
    <w:qFormat/>
    <w:rsid w:val="00893F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3F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F05"/>
    <w:rPr>
      <w:sz w:val="20"/>
      <w:szCs w:val="20"/>
    </w:rPr>
  </w:style>
  <w:style w:type="character" w:styleId="FootnoteReference">
    <w:name w:val="footnote reference"/>
    <w:basedOn w:val="DefaultParagraphFont"/>
    <w:uiPriority w:val="99"/>
    <w:semiHidden/>
    <w:unhideWhenUsed/>
    <w:rsid w:val="00893F05"/>
    <w:rPr>
      <w:vertAlign w:val="superscript"/>
    </w:rPr>
  </w:style>
  <w:style w:type="paragraph" w:styleId="ListParagraph">
    <w:name w:val="List Paragraph"/>
    <w:basedOn w:val="Normal"/>
    <w:uiPriority w:val="34"/>
    <w:qFormat/>
    <w:rsid w:val="00893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7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D30C-8FEB-4925-8C8E-AF78B536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EUGENIE</dc:creator>
  <cp:lastModifiedBy>EUGENIE</cp:lastModifiedBy>
  <cp:revision>1</cp:revision>
  <dcterms:created xsi:type="dcterms:W3CDTF">2019-11-24T22:40:00Z</dcterms:created>
  <dcterms:modified xsi:type="dcterms:W3CDTF">2019-11-25T08:17:00Z</dcterms:modified>
</cp:coreProperties>
</file>