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5C" w:rsidRPr="00E9425C" w:rsidRDefault="00E9425C" w:rsidP="00E9425C">
      <w:pPr>
        <w:keepNext/>
        <w:keepLines/>
        <w:numPr>
          <w:ilvl w:val="2"/>
          <w:numId w:val="0"/>
        </w:numPr>
        <w:spacing w:before="40" w:after="0" w:line="249" w:lineRule="auto"/>
        <w:ind w:left="720" w:right="5" w:hanging="720"/>
        <w:jc w:val="both"/>
        <w:outlineLvl w:val="2"/>
        <w:rPr>
          <w:rFonts w:ascii="Times New Roman" w:eastAsiaTheme="majorEastAsia" w:hAnsi="Times New Roman" w:cstheme="majorBidi"/>
          <w:b/>
          <w:color w:val="44546A" w:themeColor="text2"/>
          <w:sz w:val="24"/>
          <w:szCs w:val="24"/>
          <w:lang w:val="en-GB"/>
        </w:rPr>
      </w:pPr>
      <w:bookmarkStart w:id="0" w:name="_GoBack"/>
      <w:bookmarkEnd w:id="0"/>
      <w:r w:rsidRPr="00E9425C">
        <w:rPr>
          <w:rFonts w:ascii="Times New Roman" w:eastAsiaTheme="majorEastAsia" w:hAnsi="Times New Roman" w:cstheme="majorBidi"/>
          <w:b/>
          <w:color w:val="44546A" w:themeColor="text2"/>
          <w:sz w:val="24"/>
          <w:szCs w:val="24"/>
          <w:lang w:val="en-GB"/>
        </w:rPr>
        <w:t>LAN 1210 INTRODUCTION TO LANGUAGE AND LINGUISTICS</w:t>
      </w:r>
    </w:p>
    <w:p w:rsidR="00E9425C" w:rsidRP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RATIONALE</w:t>
      </w:r>
    </w:p>
    <w:p w:rsidR="00E9425C" w:rsidRPr="00E9425C" w:rsidRDefault="00E9425C" w:rsidP="00E9425C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There was need to change the half course which was offered in the second semester ELL/LAL 112 to a full course LAN 1210 after migrating to the term system. This would give first year students adequate time cover material needed for them to be grounded in t</w:t>
      </w:r>
      <w:r w:rsidR="008C0535">
        <w:rPr>
          <w:rFonts w:ascii="Times New Roman" w:eastAsia="Calibri" w:hAnsi="Times New Roman" w:cs="Times New Roman"/>
          <w:sz w:val="24"/>
          <w:lang w:val="en-GB"/>
        </w:rPr>
        <w:t xml:space="preserve">he basics of language and linguistic study.  </w:t>
      </w:r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 </w:t>
      </w:r>
    </w:p>
    <w:p w:rsidR="00E9425C" w:rsidRP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AIM</w:t>
      </w:r>
    </w:p>
    <w:p w:rsidR="00E9425C" w:rsidRPr="008C0535" w:rsidRDefault="00C36C38" w:rsidP="00256411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053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C0535">
        <w:rPr>
          <w:rFonts w:ascii="Times New Roman" w:hAnsi="Times New Roman" w:cs="Times New Roman"/>
          <w:sz w:val="24"/>
          <w:szCs w:val="24"/>
          <w:lang w:val="en-GB"/>
        </w:rPr>
        <w:t>aim of the course is t</w:t>
      </w:r>
      <w:r w:rsidRPr="008C0535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8C0535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256411" w:rsidRPr="008C0535">
        <w:rPr>
          <w:rFonts w:ascii="Times New Roman" w:hAnsi="Times New Roman" w:cs="Times New Roman"/>
          <w:sz w:val="24"/>
          <w:szCs w:val="24"/>
          <w:lang w:val="en-GB"/>
        </w:rPr>
        <w:t>-fold:</w:t>
      </w:r>
      <w:r w:rsidRPr="008C0535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Pr="008C0535">
        <w:rPr>
          <w:rFonts w:ascii="Times New Roman" w:hAnsi="Times New Roman" w:cs="Times New Roman"/>
          <w:sz w:val="24"/>
          <w:szCs w:val="24"/>
          <w:lang w:val="en-GB"/>
        </w:rPr>
        <w:t xml:space="preserve"> improve students’ skills in academic writing and to enhance their understanding of academic texts and tasks</w:t>
      </w:r>
      <w:r w:rsidR="00256411" w:rsidRPr="008C0535">
        <w:rPr>
          <w:rFonts w:ascii="Times New Roman" w:hAnsi="Times New Roman" w:cs="Times New Roman"/>
          <w:sz w:val="24"/>
          <w:szCs w:val="24"/>
          <w:lang w:val="en-GB"/>
        </w:rPr>
        <w:t>; and to</w:t>
      </w:r>
      <w:r w:rsidR="00E9425C" w:rsidRPr="008C05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introduce students to language in general, basic concepts, terms and methods in general linguistics in preparation for a scientific study of language in general and, in particular, English and African languages.</w:t>
      </w:r>
    </w:p>
    <w:p w:rsidR="00E9425C" w:rsidRP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OBJECTIVES</w:t>
      </w:r>
    </w:p>
    <w:p w:rsidR="00E9425C" w:rsidRDefault="00E9425C" w:rsidP="00E9425C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By the end of the course, students are expected to:</w:t>
      </w:r>
    </w:p>
    <w:p w:rsidR="00256411" w:rsidRPr="00256411" w:rsidRDefault="00256411" w:rsidP="00256411">
      <w:pPr>
        <w:pStyle w:val="Level1"/>
        <w:numPr>
          <w:ilvl w:val="0"/>
          <w:numId w:val="10"/>
        </w:numPr>
        <w:jc w:val="both"/>
        <w:rPr>
          <w:szCs w:val="24"/>
          <w:lang w:val="en-GB"/>
        </w:rPr>
      </w:pPr>
      <w:r w:rsidRPr="00256411">
        <w:rPr>
          <w:b/>
          <w:szCs w:val="24"/>
          <w:lang w:val="en-GB"/>
        </w:rPr>
        <w:t>demonstrate</w:t>
      </w:r>
      <w:r w:rsidRPr="00256411">
        <w:rPr>
          <w:szCs w:val="24"/>
          <w:lang w:val="en-GB"/>
        </w:rPr>
        <w:t xml:space="preserve"> an awareness of audience </w:t>
      </w:r>
      <w:r w:rsidRPr="00256411">
        <w:rPr>
          <w:szCs w:val="24"/>
          <w:lang w:val="en-GB"/>
        </w:rPr>
        <w:t xml:space="preserve">and purpose in academic writing, </w:t>
      </w:r>
      <w:r w:rsidRPr="00256411">
        <w:rPr>
          <w:b/>
          <w:szCs w:val="24"/>
          <w:lang w:val="en-GB"/>
        </w:rPr>
        <w:t>formulate</w:t>
      </w:r>
      <w:r w:rsidRPr="00256411">
        <w:rPr>
          <w:szCs w:val="24"/>
          <w:lang w:val="en-GB"/>
        </w:rPr>
        <w:t xml:space="preserve"> a clear thesis and </w:t>
      </w:r>
      <w:r w:rsidRPr="00256411">
        <w:rPr>
          <w:b/>
          <w:szCs w:val="24"/>
          <w:lang w:val="en-GB"/>
        </w:rPr>
        <w:t>support</w:t>
      </w:r>
      <w:r w:rsidRPr="00256411">
        <w:rPr>
          <w:szCs w:val="24"/>
          <w:lang w:val="en-GB"/>
        </w:rPr>
        <w:t xml:space="preserve"> i</w:t>
      </w:r>
      <w:r w:rsidRPr="00256411">
        <w:rPr>
          <w:szCs w:val="24"/>
          <w:lang w:val="en-GB"/>
        </w:rPr>
        <w:t xml:space="preserve">t fully and clearly in an essay, and </w:t>
      </w:r>
      <w:r w:rsidRPr="00256411">
        <w:rPr>
          <w:b/>
          <w:szCs w:val="24"/>
          <w:lang w:val="en-GB"/>
        </w:rPr>
        <w:t>generate</w:t>
      </w:r>
      <w:r w:rsidRPr="00256411">
        <w:rPr>
          <w:szCs w:val="24"/>
          <w:lang w:val="en-GB"/>
        </w:rPr>
        <w:t xml:space="preserve"> relevant ideas for writing tasks;</w:t>
      </w:r>
    </w:p>
    <w:p w:rsidR="00256411" w:rsidRPr="00256411" w:rsidRDefault="00256411" w:rsidP="00256411">
      <w:pPr>
        <w:pStyle w:val="Level1"/>
        <w:numPr>
          <w:ilvl w:val="0"/>
          <w:numId w:val="10"/>
        </w:numPr>
        <w:jc w:val="both"/>
        <w:rPr>
          <w:szCs w:val="24"/>
          <w:lang w:val="en-GB"/>
        </w:rPr>
      </w:pPr>
      <w:r w:rsidRPr="00256411">
        <w:rPr>
          <w:b/>
          <w:szCs w:val="24"/>
          <w:lang w:val="en-GB"/>
        </w:rPr>
        <w:t>edit</w:t>
      </w:r>
      <w:r w:rsidRPr="00256411">
        <w:rPr>
          <w:szCs w:val="24"/>
          <w:lang w:val="en-GB"/>
        </w:rPr>
        <w:t xml:space="preserve"> and </w:t>
      </w:r>
      <w:r w:rsidRPr="00256411">
        <w:rPr>
          <w:b/>
          <w:szCs w:val="24"/>
          <w:lang w:val="en-GB"/>
        </w:rPr>
        <w:t>proof-read</w:t>
      </w:r>
      <w:r w:rsidRPr="00256411">
        <w:rPr>
          <w:szCs w:val="24"/>
          <w:lang w:val="en-GB"/>
        </w:rPr>
        <w:t xml:space="preserve"> their writing to eliminate major grammatical and mechanical errors;</w:t>
      </w:r>
    </w:p>
    <w:p w:rsidR="00256411" w:rsidRPr="00256411" w:rsidRDefault="00256411" w:rsidP="00256411">
      <w:pPr>
        <w:pStyle w:val="Level1"/>
        <w:numPr>
          <w:ilvl w:val="0"/>
          <w:numId w:val="10"/>
        </w:numPr>
        <w:jc w:val="both"/>
        <w:rPr>
          <w:szCs w:val="24"/>
          <w:lang w:val="en-GB"/>
        </w:rPr>
      </w:pPr>
      <w:r w:rsidRPr="00256411">
        <w:rPr>
          <w:b/>
          <w:szCs w:val="24"/>
          <w:lang w:val="en-GB"/>
        </w:rPr>
        <w:t>use</w:t>
      </w:r>
      <w:r w:rsidRPr="00256411">
        <w:rPr>
          <w:szCs w:val="24"/>
          <w:lang w:val="en-GB"/>
        </w:rPr>
        <w:t xml:space="preserve"> appropriate expressions and sente</w:t>
      </w:r>
      <w:r w:rsidRPr="00256411">
        <w:rPr>
          <w:szCs w:val="24"/>
          <w:lang w:val="en-GB"/>
        </w:rPr>
        <w:t xml:space="preserve">nce types in their writing and </w:t>
      </w:r>
      <w:r w:rsidRPr="00256411">
        <w:rPr>
          <w:b/>
          <w:szCs w:val="24"/>
          <w:lang w:val="en-GB"/>
        </w:rPr>
        <w:t>demonstrate</w:t>
      </w:r>
      <w:r w:rsidRPr="00256411">
        <w:rPr>
          <w:szCs w:val="24"/>
          <w:lang w:val="en-GB"/>
        </w:rPr>
        <w:t xml:space="preserve"> an understanding of the thematic and rhetorical principles of coherent discourse</w:t>
      </w:r>
    </w:p>
    <w:p w:rsidR="00E9425C" w:rsidRPr="00256411" w:rsidRDefault="00E9425C" w:rsidP="00256411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5641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demonstrate</w:t>
      </w:r>
      <w:r w:rsidRPr="0025641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256411">
        <w:rPr>
          <w:rFonts w:ascii="Times New Roman" w:eastAsia="Calibri" w:hAnsi="Times New Roman" w:cs="Times New Roman"/>
          <w:sz w:val="24"/>
          <w:szCs w:val="24"/>
          <w:lang w:val="en-GB"/>
        </w:rPr>
        <w:t>an adequate understanding of the nature of language in general and human articulated</w:t>
      </w:r>
      <w:r w:rsidRPr="0025641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256411">
        <w:rPr>
          <w:rFonts w:ascii="Times New Roman" w:eastAsia="Calibri" w:hAnsi="Times New Roman" w:cs="Times New Roman"/>
          <w:sz w:val="24"/>
          <w:szCs w:val="24"/>
          <w:lang w:val="en-GB"/>
        </w:rPr>
        <w:t>language in particular;</w:t>
      </w:r>
    </w:p>
    <w:p w:rsidR="00E9425C" w:rsidRPr="00256411" w:rsidRDefault="00E9425C" w:rsidP="00256411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5641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demonstrate</w:t>
      </w:r>
      <w:r w:rsidRPr="002564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 adequate understanding of human language as a social and cultural artifact as well as a social tool; be able to demonstrate familiarity with the various areas of language study; and</w:t>
      </w:r>
    </w:p>
    <w:p w:rsidR="00E9425C" w:rsidRPr="00256411" w:rsidRDefault="00E9425C" w:rsidP="00256411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5641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demonstrate</w:t>
      </w:r>
      <w:r w:rsidRPr="0025641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familiarization with a coherent conceptual, terminological framework for the scientific study of language in general and English and African Languages in particular.</w:t>
      </w:r>
    </w:p>
    <w:p w:rsidR="00E9425C" w:rsidRPr="00E9425C" w:rsidRDefault="00E9425C" w:rsidP="00E942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MS Mincho" w:hAnsi="Calibri" w:cs="Times New Roman"/>
          <w:sz w:val="24"/>
          <w:szCs w:val="24"/>
          <w:lang w:val="en-GB" w:eastAsia="ja-JP"/>
        </w:rPr>
      </w:pPr>
    </w:p>
    <w:p w:rsid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CONTENT</w:t>
      </w:r>
    </w:p>
    <w:p w:rsidR="00507742" w:rsidRDefault="00507742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ACADEMIC WRITING</w:t>
      </w:r>
    </w:p>
    <w:p w:rsidR="00497E56" w:rsidRDefault="00497E56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</w:p>
    <w:p w:rsidR="00CD5ABC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Academic Writing as Register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Definition of academic writing/features of academic writing. Functions of academic writing</w:t>
      </w:r>
      <w:r w:rsidRPr="00507742">
        <w:rPr>
          <w:rFonts w:ascii="Times New Roman" w:hAnsi="Times New Roman" w:cs="Times New Roman"/>
          <w:sz w:val="24"/>
          <w:szCs w:val="24"/>
        </w:rPr>
        <w:t>.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Audience in academic writing</w:t>
      </w:r>
      <w:r w:rsidRPr="00507742">
        <w:rPr>
          <w:rFonts w:ascii="Times New Roman" w:hAnsi="Times New Roman" w:cs="Times New Roman"/>
          <w:sz w:val="24"/>
          <w:szCs w:val="24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Characteristics of academic writing</w:t>
      </w:r>
    </w:p>
    <w:p w:rsidR="00CD5ABC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Types of Academic Writing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Descriptions. Concept explanation. Essays. Research proposals. Research reports</w:t>
      </w:r>
    </w:p>
    <w:p w:rsidR="00497E56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Mechanics of Academic writing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Basic paragraph structure</w:t>
      </w:r>
      <w:r w:rsidRPr="00507742">
        <w:rPr>
          <w:rFonts w:ascii="Times New Roman" w:hAnsi="Times New Roman" w:cs="Times New Roman"/>
          <w:sz w:val="24"/>
          <w:szCs w:val="24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Paragraph patterns. Paragraph development.</w:t>
      </w:r>
      <w:r w:rsidRPr="00507742">
        <w:rPr>
          <w:rFonts w:ascii="Times New Roman" w:hAnsi="Times New Roman" w:cs="Times New Roman"/>
          <w:sz w:val="24"/>
          <w:szCs w:val="24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Introductory paragraph. Concluding paragraph</w:t>
      </w:r>
      <w:r w:rsidRPr="00507742">
        <w:rPr>
          <w:rFonts w:ascii="Times New Roman" w:hAnsi="Times New Roman" w:cs="Times New Roman"/>
          <w:sz w:val="24"/>
          <w:szCs w:val="24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Plagiarism</w:t>
      </w:r>
      <w:r w:rsidR="00497E56" w:rsidRPr="00507742">
        <w:rPr>
          <w:rFonts w:ascii="Times New Roman" w:hAnsi="Times New Roman" w:cs="Times New Roman"/>
          <w:sz w:val="24"/>
          <w:szCs w:val="24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Researching for an essay: research notes, references etc.</w:t>
      </w:r>
      <w:r w:rsidR="00497E56" w:rsidRPr="00507742">
        <w:rPr>
          <w:rFonts w:ascii="Times New Roman" w:hAnsi="Times New Roman" w:cs="Times New Roman"/>
          <w:sz w:val="24"/>
          <w:szCs w:val="24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Referencing: APA style, MLA style</w:t>
      </w:r>
      <w:r w:rsidR="00497E56" w:rsidRPr="00507742">
        <w:rPr>
          <w:rFonts w:ascii="Times New Roman" w:hAnsi="Times New Roman" w:cs="Times New Roman"/>
          <w:sz w:val="24"/>
          <w:szCs w:val="24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Key reference-marking words used in academic writing </w:t>
      </w:r>
    </w:p>
    <w:p w:rsidR="00CD5ABC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Grammar in Academic Writing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Parts of speech: nouns, verbs, adverbs,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lastRenderedPageBreak/>
        <w:t>adjectives, articles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Grammatical categories: phrase, clause, sentence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Grammatical functions: subject, object, </w:t>
      </w:r>
      <w:proofErr w:type="gramStart"/>
      <w:r w:rsidRPr="00507742">
        <w:rPr>
          <w:rFonts w:ascii="Times New Roman" w:hAnsi="Times New Roman" w:cs="Times New Roman"/>
          <w:sz w:val="24"/>
          <w:szCs w:val="24"/>
          <w:lang w:val="en-GB"/>
        </w:rPr>
        <w:t>complement</w:t>
      </w:r>
      <w:proofErr w:type="gramEnd"/>
      <w:r w:rsidRPr="00507742">
        <w:rPr>
          <w:rFonts w:ascii="Times New Roman" w:hAnsi="Times New Roman" w:cs="Times New Roman"/>
          <w:sz w:val="24"/>
          <w:szCs w:val="24"/>
          <w:lang w:val="en-GB"/>
        </w:rPr>
        <w:t>, adverbial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Sentence patterns: SVO; SVC etc.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Concord: Subject-verb agreement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Punctuation</w:t>
      </w:r>
    </w:p>
    <w:p w:rsidR="00CD5ABC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Cohesion and Coherence in Academic Writing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Cohesive ties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Theme and focus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Rhetorical devices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Key instructional words used in essay and examination questions</w:t>
      </w:r>
    </w:p>
    <w:p w:rsidR="00CD5ABC" w:rsidRPr="00507742" w:rsidRDefault="00CD5ABC" w:rsidP="00507742">
      <w:pPr>
        <w:pStyle w:val="ListParagraph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742">
        <w:rPr>
          <w:rFonts w:ascii="Times New Roman" w:hAnsi="Times New Roman" w:cs="Times New Roman"/>
          <w:b/>
          <w:sz w:val="24"/>
          <w:szCs w:val="24"/>
          <w:lang w:val="en-GB"/>
        </w:rPr>
        <w:t>Some features of particular registers</w:t>
      </w:r>
      <w:r w:rsidR="00497E56" w:rsidRPr="005077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507742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 register of Law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The register of Journalism or media language in general</w:t>
      </w:r>
      <w:r w:rsidR="00497E56" w:rsidRPr="005077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507742">
        <w:rPr>
          <w:rFonts w:ascii="Times New Roman" w:hAnsi="Times New Roman" w:cs="Times New Roman"/>
          <w:sz w:val="24"/>
          <w:szCs w:val="24"/>
          <w:lang w:val="en-GB"/>
        </w:rPr>
        <w:t>The register of Religion</w:t>
      </w:r>
    </w:p>
    <w:p w:rsidR="00CD5ABC" w:rsidRPr="00E9425C" w:rsidRDefault="003E6AFA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 xml:space="preserve"> LANGUAGE</w:t>
      </w:r>
      <w:r w:rsidR="00507742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 xml:space="preserve"> AND LINGUISTICS</w:t>
      </w:r>
    </w:p>
    <w:p w:rsidR="00922655" w:rsidRDefault="00E9425C" w:rsidP="00507742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507742">
        <w:rPr>
          <w:rFonts w:ascii="Times New Roman" w:eastAsia="Calibri" w:hAnsi="Times New Roman" w:cs="Times New Roman"/>
          <w:sz w:val="24"/>
          <w:lang w:val="en-GB"/>
        </w:rPr>
        <w:t>The nature of language in general;</w:t>
      </w:r>
      <w:r w:rsidR="00922655">
        <w:rPr>
          <w:rFonts w:ascii="Times New Roman" w:eastAsia="Calibri" w:hAnsi="Times New Roman" w:cs="Times New Roman"/>
          <w:sz w:val="24"/>
          <w:lang w:val="en-GB"/>
        </w:rPr>
        <w:t xml:space="preserve"> </w:t>
      </w:r>
    </w:p>
    <w:p w:rsidR="00E9425C" w:rsidRPr="00922655" w:rsidRDefault="00E9425C" w:rsidP="00507742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biological foundations of language;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the nature of human articulated language, including the so-called design features of human languages;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acquisition;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handicap;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and society;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and culture;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and gender;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functions;</w:t>
      </w:r>
    </w:p>
    <w:p w:rsidR="00A73AF6" w:rsidRDefault="003E6AFA" w:rsidP="00A73AF6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b</w:t>
      </w:r>
      <w:r w:rsidR="00A73AF6">
        <w:rPr>
          <w:rFonts w:ascii="Times New Roman" w:eastAsia="Calibri" w:hAnsi="Times New Roman" w:cs="Times New Roman"/>
          <w:sz w:val="24"/>
          <w:lang w:val="en-GB"/>
        </w:rPr>
        <w:t>ranches of linguistic study:</w:t>
      </w:r>
    </w:p>
    <w:p w:rsidR="003E6AFA" w:rsidRPr="00922655" w:rsidRDefault="00137A79" w:rsidP="00A73AF6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en-GB"/>
        </w:rPr>
        <w:t>t</w:t>
      </w:r>
      <w:r w:rsidR="001642C4">
        <w:rPr>
          <w:rFonts w:ascii="Times New Roman" w:eastAsia="Calibri" w:hAnsi="Times New Roman" w:cs="Times New Roman"/>
          <w:sz w:val="24"/>
          <w:lang w:val="en-GB"/>
        </w:rPr>
        <w:t>ranslation and i</w:t>
      </w:r>
      <w:r w:rsidR="00A73AF6">
        <w:rPr>
          <w:rFonts w:ascii="Times New Roman" w:eastAsia="Calibri" w:hAnsi="Times New Roman" w:cs="Times New Roman"/>
          <w:sz w:val="24"/>
          <w:lang w:val="en-GB"/>
        </w:rPr>
        <w:t>nterpretation: definition and significance;</w:t>
      </w:r>
      <w:r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A73AF6">
        <w:rPr>
          <w:rFonts w:ascii="Times New Roman" w:eastAsia="Calibri" w:hAnsi="Times New Roman" w:cs="Times New Roman"/>
          <w:sz w:val="24"/>
          <w:lang w:val="en-GB"/>
        </w:rPr>
        <w:t>translation principles</w:t>
      </w:r>
      <w:r>
        <w:rPr>
          <w:rFonts w:ascii="Times New Roman" w:eastAsia="Calibri" w:hAnsi="Times New Roman" w:cs="Times New Roman"/>
          <w:sz w:val="24"/>
          <w:lang w:val="en-GB"/>
        </w:rPr>
        <w:t>; methods of translation;</w:t>
      </w:r>
      <w:r w:rsidR="001642C4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lang w:val="en-GB"/>
        </w:rPr>
        <w:t>challenges in translation;</w:t>
      </w:r>
      <w:r w:rsidR="001642C4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lang w:val="en-GB"/>
        </w:rPr>
        <w:t>types of interpretation and some principles</w:t>
      </w:r>
      <w:r w:rsidR="00A73AF6">
        <w:rPr>
          <w:rFonts w:ascii="Times New Roman" w:eastAsia="Calibri" w:hAnsi="Times New Roman" w:cs="Times New Roman"/>
          <w:sz w:val="24"/>
          <w:lang w:val="en-GB"/>
        </w:rPr>
        <w:t xml:space="preserve">  </w:t>
      </w:r>
    </w:p>
    <w:p w:rsidR="00E9425C" w:rsidRDefault="009E38CA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en-GB"/>
        </w:rPr>
        <w:t>levels of linguistic analysis: phonetics; phonology;</w:t>
      </w:r>
      <w:r w:rsidR="001642C4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lang w:val="en-GB"/>
        </w:rPr>
        <w:t>morphology;</w:t>
      </w:r>
      <w:r w:rsidR="001642C4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lang w:val="en-GB"/>
        </w:rPr>
        <w:t>syntax</w:t>
      </w:r>
    </w:p>
    <w:p w:rsidR="009E38CA" w:rsidRPr="00922655" w:rsidRDefault="009E38CA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en-GB"/>
        </w:rPr>
        <w:t>other concepts in linguistics: semantics; pragmatics; discourse analysis;</w:t>
      </w:r>
      <w:r w:rsidR="001642C4">
        <w:rPr>
          <w:rFonts w:ascii="Times New Roman" w:eastAsia="Calibri" w:hAnsi="Times New Roman" w:cs="Times New Roman"/>
          <w:sz w:val="24"/>
          <w:lang w:val="en-GB"/>
        </w:rPr>
        <w:t xml:space="preserve"> sociolinguistics</w:t>
      </w:r>
    </w:p>
    <w:p w:rsidR="00E9425C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the nature and structure of sign language;</w:t>
      </w:r>
    </w:p>
    <w:p w:rsidR="00137A79" w:rsidRPr="00922655" w:rsidRDefault="00137A79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en-GB"/>
        </w:rPr>
        <w:t>written language</w:t>
      </w:r>
    </w:p>
    <w:p w:rsidR="00E9425C" w:rsidRPr="00922655" w:rsidRDefault="00E9425C" w:rsidP="0092265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922655">
        <w:rPr>
          <w:rFonts w:ascii="Times New Roman" w:eastAsia="Calibri" w:hAnsi="Times New Roman" w:cs="Times New Roman"/>
          <w:sz w:val="24"/>
          <w:lang w:val="en-GB"/>
        </w:rPr>
        <w:t>language situation in Africa and in Zambia;</w:t>
      </w:r>
    </w:p>
    <w:p w:rsidR="00E9425C" w:rsidRPr="00E9425C" w:rsidRDefault="00E9425C" w:rsidP="00E942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n-GB" w:eastAsia="ja-JP"/>
        </w:rPr>
      </w:pPr>
      <w:r w:rsidRPr="00E9425C">
        <w:rPr>
          <w:rFonts w:ascii="Calibri" w:eastAsia="MS Mincho" w:hAnsi="Calibri" w:cs="Times New Roman"/>
          <w:sz w:val="24"/>
          <w:szCs w:val="24"/>
          <w:lang w:val="en-GB" w:eastAsia="ja-JP"/>
        </w:rPr>
        <w:t xml:space="preserve"> </w:t>
      </w:r>
    </w:p>
    <w:p w:rsidR="00E9425C" w:rsidRPr="00E9425C" w:rsidRDefault="00E9425C" w:rsidP="00E9425C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>METHOD OF TEACHING</w:t>
      </w:r>
    </w:p>
    <w:p w:rsidR="00E9425C" w:rsidRPr="00E9425C" w:rsidRDefault="00E9425C" w:rsidP="00E9425C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Four (4</w:t>
      </w:r>
      <w:proofErr w:type="gramStart"/>
      <w:r w:rsidRPr="00E9425C">
        <w:rPr>
          <w:rFonts w:ascii="Times New Roman" w:eastAsia="Calibri" w:hAnsi="Times New Roman" w:cs="Times New Roman"/>
          <w:sz w:val="24"/>
          <w:lang w:val="en-GB"/>
        </w:rPr>
        <w:t>)  hours</w:t>
      </w:r>
      <w:proofErr w:type="gram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 per week: 3 lectures, 1 tutorial</w:t>
      </w:r>
    </w:p>
    <w:p w:rsidR="00E9425C" w:rsidRP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ASSESSMENT</w:t>
      </w:r>
    </w:p>
    <w:p w:rsidR="00E9425C" w:rsidRPr="00E9425C" w:rsidRDefault="00E9425C" w:rsidP="00E9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>Continuous Assessment</w:t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  <w:t>50%</w:t>
      </w:r>
    </w:p>
    <w:p w:rsidR="00E9425C" w:rsidRPr="00E9425C" w:rsidRDefault="00E9425C" w:rsidP="00E9425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3 assignments, 10% each</w:t>
      </w:r>
      <w:r w:rsidRPr="00E9425C">
        <w:rPr>
          <w:rFonts w:ascii="Times New Roman" w:eastAsia="Calibri" w:hAnsi="Times New Roman" w:cs="Times New Roman"/>
          <w:sz w:val="24"/>
          <w:lang w:val="en-GB"/>
        </w:rPr>
        <w:tab/>
        <w:t>30%</w:t>
      </w:r>
    </w:p>
    <w:p w:rsidR="00E9425C" w:rsidRPr="00E9425C" w:rsidRDefault="00E9425C" w:rsidP="00E9425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1 test</w:t>
      </w:r>
      <w:r w:rsidRPr="00E9425C">
        <w:rPr>
          <w:rFonts w:ascii="Times New Roman" w:eastAsia="Calibri" w:hAnsi="Times New Roman" w:cs="Times New Roman"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sz w:val="24"/>
          <w:lang w:val="en-GB"/>
        </w:rPr>
        <w:tab/>
        <w:t xml:space="preserve">20% </w:t>
      </w:r>
    </w:p>
    <w:p w:rsidR="00E9425C" w:rsidRPr="00E9425C" w:rsidRDefault="00E9425C" w:rsidP="00E9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>Examination</w:t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</w:r>
      <w:r w:rsidRPr="00E9425C">
        <w:rPr>
          <w:rFonts w:ascii="Times New Roman" w:eastAsia="Calibri" w:hAnsi="Times New Roman" w:cs="Times New Roman"/>
          <w:b/>
          <w:bCs/>
          <w:sz w:val="24"/>
          <w:lang w:val="en-GB"/>
        </w:rPr>
        <w:tab/>
        <w:t>50%</w:t>
      </w:r>
    </w:p>
    <w:p w:rsidR="00E9425C" w:rsidRPr="00E9425C" w:rsidRDefault="00E9425C" w:rsidP="00E9425C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E9425C" w:rsidRP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lastRenderedPageBreak/>
        <w:t>REQUIRED READINGS</w:t>
      </w:r>
    </w:p>
    <w:p w:rsidR="00E9425C" w:rsidRPr="00E9425C" w:rsidRDefault="00E9425C" w:rsidP="00E9425C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Atkinson, M., F. </w:t>
      </w:r>
      <w:proofErr w:type="spellStart"/>
      <w:r w:rsidRPr="00E9425C">
        <w:rPr>
          <w:rFonts w:ascii="Times New Roman" w:eastAsia="Calibri" w:hAnsi="Times New Roman" w:cs="Times New Roman"/>
          <w:sz w:val="24"/>
          <w:lang w:val="en-GB"/>
        </w:rPr>
        <w:t>Kilby</w:t>
      </w:r>
      <w:proofErr w:type="spell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 and I. Rocca (1988)</w:t>
      </w:r>
      <w:r w:rsidRPr="00E9425C">
        <w:rPr>
          <w:rFonts w:ascii="Times New Roman" w:eastAsia="Calibri" w:hAnsi="Times New Roman" w:cs="Times New Roman"/>
          <w:b/>
          <w:bCs/>
          <w:i/>
          <w:iCs/>
          <w:sz w:val="24"/>
          <w:lang w:val="en-GB"/>
        </w:rPr>
        <w:t xml:space="preserve"> Foundations of General Linguistics</w:t>
      </w:r>
      <w:r w:rsidRPr="00E9425C">
        <w:rPr>
          <w:rFonts w:ascii="Times New Roman" w:eastAsia="Calibri" w:hAnsi="Times New Roman" w:cs="Times New Roman"/>
          <w:sz w:val="24"/>
          <w:lang w:val="en-GB"/>
        </w:rPr>
        <w:t>.  London: Unwin Hyman</w:t>
      </w:r>
    </w:p>
    <w:p w:rsidR="00E9425C" w:rsidRPr="00E9425C" w:rsidRDefault="00E9425C" w:rsidP="00E9425C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E9425C">
        <w:rPr>
          <w:rFonts w:ascii="Times New Roman" w:eastAsia="Calibri" w:hAnsi="Times New Roman" w:cs="Times New Roman"/>
          <w:sz w:val="24"/>
          <w:lang w:val="en-GB"/>
        </w:rPr>
        <w:t>Catford</w:t>
      </w:r>
      <w:proofErr w:type="spell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, J.C. (1990) </w:t>
      </w:r>
      <w:r w:rsidRPr="00E9425C">
        <w:rPr>
          <w:rFonts w:ascii="Times New Roman" w:eastAsia="Calibri" w:hAnsi="Times New Roman" w:cs="Times New Roman"/>
          <w:b/>
          <w:bCs/>
          <w:i/>
          <w:iCs/>
          <w:sz w:val="24"/>
          <w:lang w:val="en-GB"/>
        </w:rPr>
        <w:t>A Practical Introduction to Phonetics</w:t>
      </w:r>
      <w:r w:rsidRPr="00E9425C">
        <w:rPr>
          <w:rFonts w:ascii="Times New Roman" w:eastAsia="Calibri" w:hAnsi="Times New Roman" w:cs="Times New Roman"/>
          <w:sz w:val="24"/>
          <w:lang w:val="en-GB"/>
        </w:rPr>
        <w:t>.  Oxford: Oxford at Clarendon Press</w:t>
      </w:r>
    </w:p>
    <w:p w:rsidR="00A76C8A" w:rsidRDefault="00E9425C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Lyons, J (1990)</w:t>
      </w:r>
      <w:r w:rsidRPr="00E9425C">
        <w:rPr>
          <w:rFonts w:ascii="Times New Roman" w:eastAsia="Calibri" w:hAnsi="Times New Roman" w:cs="Times New Roman"/>
          <w:b/>
          <w:i/>
          <w:sz w:val="24"/>
          <w:lang w:val="en-GB"/>
        </w:rPr>
        <w:t>Language and Linguistics</w:t>
      </w:r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Pr="00E9425C">
        <w:rPr>
          <w:rFonts w:ascii="Times New Roman" w:eastAsia="Calibri" w:hAnsi="Times New Roman" w:cs="Times New Roman"/>
          <w:b/>
          <w:i/>
          <w:sz w:val="24"/>
          <w:lang w:val="en-GB"/>
        </w:rPr>
        <w:t xml:space="preserve">:An Introduction </w:t>
      </w:r>
      <w:r w:rsidRPr="00E9425C">
        <w:rPr>
          <w:rFonts w:ascii="Times New Roman" w:eastAsia="Calibri" w:hAnsi="Times New Roman" w:cs="Times New Roman"/>
          <w:sz w:val="24"/>
          <w:lang w:val="en-GB"/>
        </w:rPr>
        <w:t>Cambridge: Cambridge University Press</w:t>
      </w:r>
    </w:p>
    <w:p w:rsidR="00BA38E2" w:rsidRDefault="00BA38E2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>
        <w:rPr>
          <w:rFonts w:ascii="Times New Roman" w:eastAsia="Calibri" w:hAnsi="Times New Roman" w:cs="Times New Roman"/>
          <w:sz w:val="24"/>
          <w:lang w:val="en-GB"/>
        </w:rPr>
        <w:t>Yule, G (2014)</w:t>
      </w:r>
      <w:r w:rsidR="004167FB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gramStart"/>
      <w:r w:rsidR="004167FB" w:rsidRPr="005A2B17">
        <w:rPr>
          <w:rFonts w:ascii="Times New Roman" w:eastAsia="Calibri" w:hAnsi="Times New Roman" w:cs="Times New Roman"/>
          <w:b/>
          <w:i/>
          <w:sz w:val="24"/>
          <w:lang w:val="en-GB"/>
        </w:rPr>
        <w:t>The</w:t>
      </w:r>
      <w:proofErr w:type="gramEnd"/>
      <w:r w:rsidR="004167FB" w:rsidRPr="005A2B17">
        <w:rPr>
          <w:rFonts w:ascii="Times New Roman" w:eastAsia="Calibri" w:hAnsi="Times New Roman" w:cs="Times New Roman"/>
          <w:b/>
          <w:i/>
          <w:sz w:val="24"/>
          <w:lang w:val="en-GB"/>
        </w:rPr>
        <w:t xml:space="preserve"> Study of Language</w:t>
      </w:r>
      <w:r w:rsidR="005A2B17">
        <w:rPr>
          <w:rFonts w:ascii="Times New Roman" w:eastAsia="Calibri" w:hAnsi="Times New Roman" w:cs="Times New Roman"/>
          <w:sz w:val="24"/>
          <w:lang w:val="en-GB"/>
        </w:rPr>
        <w:t>. Cambridge: Cambridge University Press</w:t>
      </w:r>
      <w:r w:rsidR="004167FB">
        <w:rPr>
          <w:rFonts w:ascii="Times New Roman" w:eastAsia="Calibri" w:hAnsi="Times New Roman" w:cs="Times New Roman"/>
          <w:sz w:val="24"/>
          <w:lang w:val="en-GB"/>
        </w:rPr>
        <w:t xml:space="preserve"> </w:t>
      </w:r>
    </w:p>
    <w:p w:rsidR="00A76C8A" w:rsidRDefault="00A76C8A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6C8A">
        <w:rPr>
          <w:rFonts w:ascii="Times New Roman" w:hAnsi="Times New Roman" w:cs="Times New Roman"/>
          <w:sz w:val="24"/>
          <w:szCs w:val="24"/>
          <w:lang w:val="en-GB"/>
        </w:rPr>
        <w:t>Oshima</w:t>
      </w:r>
      <w:proofErr w:type="spellEnd"/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, A. and A. Hogue (2005) </w:t>
      </w:r>
      <w:r w:rsidRPr="00A76C8A">
        <w:rPr>
          <w:rStyle w:val="WP9Emphasis"/>
          <w:rFonts w:ascii="Times New Roman" w:hAnsi="Times New Roman" w:cs="Times New Roman"/>
          <w:b/>
          <w:sz w:val="24"/>
          <w:szCs w:val="24"/>
          <w:lang w:val="en-GB"/>
        </w:rPr>
        <w:t>Writing Academic English</w:t>
      </w:r>
      <w:r w:rsidRPr="00A76C8A">
        <w:rPr>
          <w:rStyle w:val="WP9Emphasis"/>
          <w:rFonts w:ascii="Times New Roman" w:hAnsi="Times New Roman" w:cs="Times New Roman"/>
          <w:sz w:val="24"/>
          <w:szCs w:val="24"/>
          <w:lang w:val="en-GB"/>
        </w:rPr>
        <w:t>.</w:t>
      </w:r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 New York: Addison-Wesley</w:t>
      </w:r>
    </w:p>
    <w:p w:rsidR="00A76C8A" w:rsidRDefault="00A76C8A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6C8A">
        <w:rPr>
          <w:rFonts w:ascii="Times New Roman" w:hAnsi="Times New Roman" w:cs="Times New Roman"/>
          <w:sz w:val="24"/>
          <w:szCs w:val="24"/>
          <w:lang w:val="en-GB"/>
        </w:rPr>
        <w:t>Crèème</w:t>
      </w:r>
      <w:proofErr w:type="spellEnd"/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, P. and M. Lea (2003) </w:t>
      </w:r>
      <w:r w:rsidRPr="00A76C8A">
        <w:rPr>
          <w:rStyle w:val="WP9Emphasis"/>
          <w:rFonts w:ascii="Times New Roman" w:hAnsi="Times New Roman" w:cs="Times New Roman"/>
          <w:b/>
          <w:sz w:val="24"/>
          <w:szCs w:val="24"/>
          <w:lang w:val="en-GB"/>
        </w:rPr>
        <w:t>Writing at University: A guide for students</w:t>
      </w:r>
      <w:r w:rsidRPr="00A76C8A">
        <w:rPr>
          <w:rFonts w:ascii="Times New Roman" w:hAnsi="Times New Roman" w:cs="Times New Roman"/>
          <w:sz w:val="24"/>
          <w:szCs w:val="24"/>
          <w:lang w:val="en-GB"/>
        </w:rPr>
        <w:t>. London: Open University Press</w:t>
      </w:r>
    </w:p>
    <w:p w:rsidR="00A76C8A" w:rsidRPr="00617D20" w:rsidRDefault="00A76C8A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 w:rsidRPr="00A76C8A">
        <w:rPr>
          <w:rFonts w:ascii="Times New Roman" w:hAnsi="Times New Roman" w:cs="Times New Roman"/>
          <w:sz w:val="24"/>
          <w:szCs w:val="24"/>
          <w:lang w:val="en-GB"/>
        </w:rPr>
        <w:t>Sheal</w:t>
      </w:r>
      <w:proofErr w:type="spellEnd"/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, P.  (1981) </w:t>
      </w:r>
      <w:r w:rsidRPr="00617D20">
        <w:rPr>
          <w:rFonts w:ascii="Times New Roman" w:hAnsi="Times New Roman" w:cs="Times New Roman"/>
          <w:b/>
          <w:i/>
          <w:sz w:val="24"/>
          <w:szCs w:val="24"/>
          <w:lang w:val="en-GB"/>
        </w:rPr>
        <w:t>Advanced Level Writing Skills</w:t>
      </w:r>
      <w:r w:rsidRPr="00A76C8A">
        <w:rPr>
          <w:rFonts w:ascii="Times New Roman" w:hAnsi="Times New Roman" w:cs="Times New Roman"/>
          <w:sz w:val="24"/>
          <w:szCs w:val="24"/>
          <w:lang w:val="en-GB"/>
        </w:rPr>
        <w:t>. Essex: Longman</w:t>
      </w:r>
    </w:p>
    <w:p w:rsidR="00617D20" w:rsidRPr="00A76C8A" w:rsidRDefault="00617D20" w:rsidP="00A76C8A">
      <w:pPr>
        <w:numPr>
          <w:ilvl w:val="0"/>
          <w:numId w:val="4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Hatim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,B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Munday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 (2004) </w:t>
      </w:r>
      <w:r w:rsidRPr="00617D20">
        <w:rPr>
          <w:rFonts w:ascii="Times New Roman" w:hAnsi="Times New Roman" w:cs="Times New Roman"/>
          <w:b/>
          <w:i/>
          <w:sz w:val="24"/>
          <w:szCs w:val="24"/>
          <w:lang w:val="en-GB"/>
        </w:rPr>
        <w:t>Translation: An advanced resource book.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New York: Routledge</w:t>
      </w:r>
    </w:p>
    <w:p w:rsidR="00922655" w:rsidRPr="00E9425C" w:rsidRDefault="00922655" w:rsidP="00A76C8A">
      <w:pPr>
        <w:spacing w:after="24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E9425C" w:rsidRDefault="00E9425C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  <w:r w:rsidRPr="00E9425C"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  <w:t>RECOMMENDED READINGS</w:t>
      </w:r>
    </w:p>
    <w:p w:rsidR="00A76C8A" w:rsidRPr="00E9425C" w:rsidRDefault="00A76C8A" w:rsidP="00E9425C">
      <w:pPr>
        <w:keepNext/>
        <w:keepLines/>
        <w:numPr>
          <w:ilvl w:val="3"/>
          <w:numId w:val="0"/>
        </w:numPr>
        <w:spacing w:before="40" w:after="0" w:line="249" w:lineRule="auto"/>
        <w:ind w:left="720" w:right="5" w:hanging="720"/>
        <w:jc w:val="both"/>
        <w:outlineLvl w:val="3"/>
        <w:rPr>
          <w:rFonts w:ascii="Times New Roman" w:eastAsiaTheme="majorEastAsia" w:hAnsi="Times New Roman" w:cstheme="majorBidi"/>
          <w:b/>
          <w:iCs/>
          <w:color w:val="00B050"/>
          <w:sz w:val="24"/>
          <w:lang w:val="en-GB"/>
        </w:rPr>
      </w:pPr>
    </w:p>
    <w:p w:rsidR="00E9425C" w:rsidRPr="00E9425C" w:rsidRDefault="00E9425C" w:rsidP="00E9425C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bCs/>
          <w:sz w:val="24"/>
          <w:lang w:val="en-GB"/>
        </w:rPr>
        <w:t xml:space="preserve">Crystal, D (1992) </w:t>
      </w:r>
      <w:r w:rsidRPr="00E9425C">
        <w:rPr>
          <w:rFonts w:ascii="Times New Roman" w:eastAsia="Calibri" w:hAnsi="Times New Roman" w:cs="Times New Roman"/>
          <w:b/>
          <w:bCs/>
          <w:i/>
          <w:sz w:val="24"/>
          <w:lang w:val="en-GB"/>
        </w:rPr>
        <w:t xml:space="preserve">A Dictionary of Linguistics. </w:t>
      </w:r>
      <w:r w:rsidRPr="00E9425C">
        <w:rPr>
          <w:rFonts w:ascii="Times New Roman" w:eastAsia="Calibri" w:hAnsi="Times New Roman" w:cs="Times New Roman"/>
          <w:bCs/>
          <w:sz w:val="24"/>
          <w:lang w:val="en-GB"/>
        </w:rPr>
        <w:t xml:space="preserve">Oxford: Blackwell Publishers </w:t>
      </w:r>
    </w:p>
    <w:p w:rsidR="00E9425C" w:rsidRPr="00E9425C" w:rsidRDefault="00E9425C" w:rsidP="00E9425C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Fromkin, V. and R. Rodman (1988) </w:t>
      </w:r>
      <w:proofErr w:type="gramStart"/>
      <w:r w:rsidRPr="00E9425C">
        <w:rPr>
          <w:rFonts w:ascii="Times New Roman" w:eastAsia="Calibri" w:hAnsi="Times New Roman" w:cs="Times New Roman"/>
          <w:b/>
          <w:bCs/>
          <w:i/>
          <w:iCs/>
          <w:sz w:val="24"/>
          <w:lang w:val="en-GB"/>
        </w:rPr>
        <w:t>An</w:t>
      </w:r>
      <w:proofErr w:type="gramEnd"/>
      <w:r w:rsidRPr="00E9425C">
        <w:rPr>
          <w:rFonts w:ascii="Times New Roman" w:eastAsia="Calibri" w:hAnsi="Times New Roman" w:cs="Times New Roman"/>
          <w:b/>
          <w:bCs/>
          <w:i/>
          <w:iCs/>
          <w:sz w:val="24"/>
          <w:lang w:val="en-GB"/>
        </w:rPr>
        <w:t xml:space="preserve"> Introduction to Language</w:t>
      </w:r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. </w:t>
      </w:r>
      <w:proofErr w:type="spellStart"/>
      <w:r w:rsidRPr="00E9425C">
        <w:rPr>
          <w:rFonts w:ascii="Times New Roman" w:eastAsia="Calibri" w:hAnsi="Times New Roman" w:cs="Times New Roman"/>
          <w:sz w:val="24"/>
          <w:lang w:val="en-GB"/>
        </w:rPr>
        <w:t>Forthworth</w:t>
      </w:r>
      <w:proofErr w:type="spell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, Chicago, San Francisco, Philadelphia, Montreal, Toronto, London, Sydney, </w:t>
      </w:r>
      <w:proofErr w:type="gramStart"/>
      <w:r w:rsidRPr="00E9425C">
        <w:rPr>
          <w:rFonts w:ascii="Times New Roman" w:eastAsia="Calibri" w:hAnsi="Times New Roman" w:cs="Times New Roman"/>
          <w:sz w:val="24"/>
          <w:lang w:val="en-GB"/>
        </w:rPr>
        <w:t>Tokyo.:</w:t>
      </w:r>
      <w:proofErr w:type="gram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 Holt, Rinehart and Winton, Inc.</w:t>
      </w:r>
    </w:p>
    <w:p w:rsidR="00E9425C" w:rsidRDefault="00E9425C" w:rsidP="00E9425C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9425C">
        <w:rPr>
          <w:rFonts w:ascii="Times New Roman" w:eastAsia="Calibri" w:hAnsi="Times New Roman" w:cs="Times New Roman"/>
          <w:sz w:val="24"/>
          <w:lang w:val="en-GB"/>
        </w:rPr>
        <w:t>Kashoki, M.W. and S. Ohannessian (</w:t>
      </w:r>
      <w:proofErr w:type="gramStart"/>
      <w:r w:rsidRPr="00E9425C">
        <w:rPr>
          <w:rFonts w:ascii="Times New Roman" w:eastAsia="Calibri" w:hAnsi="Times New Roman" w:cs="Times New Roman"/>
          <w:sz w:val="24"/>
          <w:lang w:val="en-GB"/>
        </w:rPr>
        <w:t>eds</w:t>
      </w:r>
      <w:proofErr w:type="gramEnd"/>
      <w:r w:rsidRPr="00E9425C">
        <w:rPr>
          <w:rFonts w:ascii="Times New Roman" w:eastAsia="Calibri" w:hAnsi="Times New Roman" w:cs="Times New Roman"/>
          <w:sz w:val="24"/>
          <w:lang w:val="en-GB"/>
        </w:rPr>
        <w:t xml:space="preserve">) (1978) </w:t>
      </w:r>
      <w:r w:rsidRPr="00E9425C">
        <w:rPr>
          <w:rFonts w:ascii="Times New Roman" w:eastAsia="Calibri" w:hAnsi="Times New Roman" w:cs="Times New Roman"/>
          <w:b/>
          <w:bCs/>
          <w:i/>
          <w:iCs/>
          <w:sz w:val="24"/>
          <w:lang w:val="en-GB"/>
        </w:rPr>
        <w:t>Language in Zambia</w:t>
      </w:r>
      <w:r w:rsidRPr="00E9425C">
        <w:rPr>
          <w:rFonts w:ascii="Times New Roman" w:eastAsia="Calibri" w:hAnsi="Times New Roman" w:cs="Times New Roman"/>
          <w:sz w:val="24"/>
          <w:lang w:val="en-GB"/>
        </w:rPr>
        <w:t>.  London: International African Institute.</w:t>
      </w:r>
    </w:p>
    <w:p w:rsidR="00A76C8A" w:rsidRPr="00A76C8A" w:rsidRDefault="00A76C8A" w:rsidP="00A76C8A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Hamp-Lyons, L. and B. </w:t>
      </w:r>
      <w:proofErr w:type="spellStart"/>
      <w:r w:rsidRPr="00A76C8A">
        <w:rPr>
          <w:rFonts w:ascii="Times New Roman" w:hAnsi="Times New Roman" w:cs="Times New Roman"/>
          <w:sz w:val="24"/>
          <w:szCs w:val="24"/>
          <w:lang w:val="en-GB"/>
        </w:rPr>
        <w:t>Heasly</w:t>
      </w:r>
      <w:proofErr w:type="spellEnd"/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 (2006) </w:t>
      </w:r>
      <w:r w:rsidRPr="00A76C8A">
        <w:rPr>
          <w:rFonts w:ascii="Times New Roman" w:hAnsi="Times New Roman" w:cs="Times New Roman"/>
          <w:b/>
          <w:sz w:val="24"/>
          <w:szCs w:val="24"/>
          <w:lang w:val="en-GB"/>
        </w:rPr>
        <w:t>Study Writing</w:t>
      </w:r>
      <w:r w:rsidRPr="00A76C8A">
        <w:rPr>
          <w:rFonts w:ascii="Times New Roman" w:hAnsi="Times New Roman" w:cs="Times New Roman"/>
          <w:sz w:val="24"/>
          <w:szCs w:val="24"/>
          <w:lang w:val="en-GB"/>
        </w:rPr>
        <w:t>. Cambridge: Cambridge University Press.</w:t>
      </w:r>
    </w:p>
    <w:p w:rsidR="00A76C8A" w:rsidRPr="0066530A" w:rsidRDefault="00A76C8A" w:rsidP="00A76C8A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Bailey. S. (2001) </w:t>
      </w:r>
      <w:r w:rsidRPr="00A76C8A">
        <w:rPr>
          <w:rStyle w:val="WP9Emphasis"/>
          <w:rFonts w:ascii="Times New Roman" w:hAnsi="Times New Roman" w:cs="Times New Roman"/>
          <w:b/>
          <w:sz w:val="24"/>
          <w:szCs w:val="24"/>
          <w:lang w:val="en-GB"/>
        </w:rPr>
        <w:t>Academic Writing: A Handbook for International Students</w:t>
      </w:r>
      <w:r w:rsidRPr="00A76C8A">
        <w:rPr>
          <w:rFonts w:ascii="Times New Roman" w:hAnsi="Times New Roman" w:cs="Times New Roman"/>
          <w:sz w:val="24"/>
          <w:szCs w:val="24"/>
          <w:lang w:val="en-GB"/>
        </w:rPr>
        <w:t xml:space="preserve">. London and New York: Routledge. </w:t>
      </w:r>
    </w:p>
    <w:p w:rsidR="0066530A" w:rsidRPr="00A76C8A" w:rsidRDefault="0066530A" w:rsidP="00A76C8A">
      <w:pPr>
        <w:numPr>
          <w:ilvl w:val="0"/>
          <w:numId w:val="5"/>
        </w:numPr>
        <w:spacing w:after="24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Newmark, P (1988). </w:t>
      </w:r>
      <w:r w:rsidRPr="00A43C3D">
        <w:rPr>
          <w:rFonts w:ascii="Times New Roman" w:hAnsi="Times New Roman" w:cs="Times New Roman"/>
          <w:b/>
          <w:i/>
          <w:sz w:val="24"/>
          <w:szCs w:val="24"/>
          <w:lang w:val="en-GB"/>
        </w:rPr>
        <w:t>A textbook of translation.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New York: </w:t>
      </w:r>
      <w:r w:rsidR="00A43C3D">
        <w:rPr>
          <w:rFonts w:ascii="Times New Roman" w:hAnsi="Times New Roman" w:cs="Times New Roman"/>
          <w:sz w:val="24"/>
          <w:szCs w:val="24"/>
          <w:lang w:val="en-GB"/>
        </w:rPr>
        <w:t>Pearson</w:t>
      </w:r>
    </w:p>
    <w:p w:rsidR="00D836E7" w:rsidRDefault="00D836E7"/>
    <w:sectPr w:rsidR="00D836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39" w:rsidRDefault="000A5239" w:rsidP="00512253">
      <w:pPr>
        <w:spacing w:after="0" w:line="240" w:lineRule="auto"/>
      </w:pPr>
      <w:r>
        <w:separator/>
      </w:r>
    </w:p>
  </w:endnote>
  <w:endnote w:type="continuationSeparator" w:id="0">
    <w:p w:rsidR="000A5239" w:rsidRDefault="000A5239" w:rsidP="0051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ourier New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8778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2253" w:rsidRDefault="0051225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25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2253" w:rsidRDefault="00512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39" w:rsidRDefault="000A5239" w:rsidP="00512253">
      <w:pPr>
        <w:spacing w:after="0" w:line="240" w:lineRule="auto"/>
      </w:pPr>
      <w:r>
        <w:separator/>
      </w:r>
    </w:p>
  </w:footnote>
  <w:footnote w:type="continuationSeparator" w:id="0">
    <w:p w:rsidR="000A5239" w:rsidRDefault="000A5239" w:rsidP="00512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lvl w:ilvl="0">
      <w:start w:val="1"/>
      <w:numFmt w:val="lowerRoman"/>
      <w:suff w:val="nothing"/>
      <w:lvlText w:val="(%1)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6"/>
    <w:multiLevelType w:val="singleLevel"/>
    <w:tmpl w:val="00000006"/>
    <w:lvl w:ilvl="0">
      <w:start w:val="5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3" w15:restartNumberingAfterBreak="0">
    <w:nsid w:val="199E68CC"/>
    <w:multiLevelType w:val="hybridMultilevel"/>
    <w:tmpl w:val="677678BA"/>
    <w:lvl w:ilvl="0" w:tplc="00000004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7BE9"/>
    <w:multiLevelType w:val="hybridMultilevel"/>
    <w:tmpl w:val="986E2A1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2DCE"/>
    <w:multiLevelType w:val="hybridMultilevel"/>
    <w:tmpl w:val="055E5692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FB20BD"/>
    <w:multiLevelType w:val="hybridMultilevel"/>
    <w:tmpl w:val="405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057F4"/>
    <w:multiLevelType w:val="hybridMultilevel"/>
    <w:tmpl w:val="CDA23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143A2E"/>
    <w:multiLevelType w:val="hybridMultilevel"/>
    <w:tmpl w:val="6C963896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5C"/>
    <w:rsid w:val="00003222"/>
    <w:rsid w:val="000A5239"/>
    <w:rsid w:val="00137A79"/>
    <w:rsid w:val="001642C4"/>
    <w:rsid w:val="00256411"/>
    <w:rsid w:val="003E6AFA"/>
    <w:rsid w:val="004167FB"/>
    <w:rsid w:val="00497E56"/>
    <w:rsid w:val="004D2FF8"/>
    <w:rsid w:val="00507742"/>
    <w:rsid w:val="00512253"/>
    <w:rsid w:val="005A2B17"/>
    <w:rsid w:val="00617D20"/>
    <w:rsid w:val="00640E7B"/>
    <w:rsid w:val="0066530A"/>
    <w:rsid w:val="008C0535"/>
    <w:rsid w:val="00922655"/>
    <w:rsid w:val="009E38CA"/>
    <w:rsid w:val="00A43C3D"/>
    <w:rsid w:val="00A548DB"/>
    <w:rsid w:val="00A73AF6"/>
    <w:rsid w:val="00A76C8A"/>
    <w:rsid w:val="00BA38E2"/>
    <w:rsid w:val="00C36C38"/>
    <w:rsid w:val="00CD5ABC"/>
    <w:rsid w:val="00D836E7"/>
    <w:rsid w:val="00E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8F3D7-5BF6-4294-B1DC-97C2EE22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D5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ZW"/>
    </w:rPr>
  </w:style>
  <w:style w:type="paragraph" w:styleId="ListParagraph">
    <w:name w:val="List Paragraph"/>
    <w:basedOn w:val="Normal"/>
    <w:uiPriority w:val="34"/>
    <w:qFormat/>
    <w:rsid w:val="00507742"/>
    <w:pPr>
      <w:ind w:left="720"/>
      <w:contextualSpacing/>
    </w:pPr>
  </w:style>
  <w:style w:type="character" w:customStyle="1" w:styleId="WP9Emphasis">
    <w:name w:val="WP9_Emphasis"/>
    <w:rsid w:val="00A76C8A"/>
    <w:rPr>
      <w:i/>
    </w:rPr>
  </w:style>
  <w:style w:type="paragraph" w:styleId="Header">
    <w:name w:val="header"/>
    <w:basedOn w:val="Normal"/>
    <w:link w:val="HeaderChar"/>
    <w:uiPriority w:val="99"/>
    <w:unhideWhenUsed/>
    <w:rsid w:val="0051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253"/>
  </w:style>
  <w:style w:type="paragraph" w:styleId="Footer">
    <w:name w:val="footer"/>
    <w:basedOn w:val="Normal"/>
    <w:link w:val="FooterChar"/>
    <w:uiPriority w:val="99"/>
    <w:unhideWhenUsed/>
    <w:rsid w:val="0051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2021-12-13T16:03:00Z</dcterms:created>
  <dcterms:modified xsi:type="dcterms:W3CDTF">2021-12-13T23:10:00Z</dcterms:modified>
</cp:coreProperties>
</file>