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464B" w:rsidRDefault="0021464B">
      <w:r>
        <w:rPr>
          <w:rFonts w:ascii="Helvetica" w:eastAsia="Times New Roman" w:hAnsi="Helvetica"/>
          <w:color w:val="000000"/>
          <w:sz w:val="25"/>
          <w:szCs w:val="25"/>
          <w:shd w:val="clear" w:color="auto" w:fill="FFFFFF"/>
        </w:rPr>
        <w:t>A census of population collects information on basic population characteristics including age, sex, marital status, household composition, family characteristics, and household size. Information is also collected on economic measures including labor force participation, occupation, place of work, employment-related industry, and educational attributes such as school attendance, educational attainment, and literacy. Geographic and migration information is also collected. Questions on place of birth, place of usual residence, duration of residence, and prior place of residence allow planners to examine population movements. Some countries also collect information on births and deaths, especially those that do not have a system that adequately registers these vital events.</w:t>
      </w:r>
    </w:p>
    <w:sectPr w:rsidR="00214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4B"/>
    <w:rsid w:val="0021464B"/>
    <w:rsid w:val="007B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79AA29F-5035-444D-9301-8C35B773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2</cp:revision>
  <dcterms:created xsi:type="dcterms:W3CDTF">2021-07-26T22:04:00Z</dcterms:created>
  <dcterms:modified xsi:type="dcterms:W3CDTF">2021-07-26T22:04:00Z</dcterms:modified>
</cp:coreProperties>
</file>