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Copperplate Gothic Bold" w:hAnsi="Copperplate Gothic Bold"/>
          <w:sz w:val="44"/>
          <w:szCs w:val="44"/>
        </w:rPr>
      </w:pPr>
      <w:r>
        <w:drawing>
          <wp:anchor distT="0" distB="0" distL="114300" distR="114300" simplePos="0" relativeHeight="251658240" behindDoc="1" locked="0" layoutInCell="1" allowOverlap="1">
            <wp:simplePos x="0" y="0"/>
            <wp:positionH relativeFrom="column">
              <wp:posOffset>571500</wp:posOffset>
            </wp:positionH>
            <wp:positionV relativeFrom="paragraph">
              <wp:posOffset>1343025</wp:posOffset>
            </wp:positionV>
            <wp:extent cx="5064125" cy="450215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extLst>
                        <a:ext uri="{28A0092B-C50C-407E-A947-70E740481C1C}">
                          <a14:useLocalDpi xmlns:a14="http://schemas.microsoft.com/office/drawing/2010/main" val="0"/>
                        </a:ext>
                      </a:extLst>
                    </a:blip>
                    <a:srcRect t="21831"/>
                    <a:stretch>
                      <a:fillRect/>
                    </a:stretch>
                  </pic:blipFill>
                  <pic:spPr>
                    <a:xfrm>
                      <a:off x="0" y="0"/>
                      <a:ext cx="5064125" cy="4501990"/>
                    </a:xfrm>
                    <a:prstGeom prst="rect">
                      <a:avLst/>
                    </a:prstGeom>
                    <a:noFill/>
                    <a:ln>
                      <a:noFill/>
                    </a:ln>
                  </pic:spPr>
                </pic:pic>
              </a:graphicData>
            </a:graphic>
          </wp:anchor>
        </w:drawing>
      </w:r>
      <w:r>
        <w:rPr>
          <w:rFonts w:ascii="Copperplate Gothic Bold" w:hAnsi="Copperplate Gothic Bold"/>
          <w:sz w:val="44"/>
          <w:szCs w:val="44"/>
        </w:rPr>
        <w:t>UNIVERSITY OF LUSAKA</w:t>
      </w:r>
    </w:p>
    <w:p>
      <w:pPr>
        <w:jc w:val="center"/>
      </w:pPr>
      <w:r>
        <w:rPr>
          <w:rFonts w:ascii="Copperplate Gothic Bold" w:hAnsi="Copperplate Gothic Bold"/>
          <w:sz w:val="44"/>
          <w:szCs w:val="44"/>
        </w:rPr>
        <w:t>SCHOOL OF LAW</w:t>
      </w:r>
    </w:p>
    <w:p/>
    <w:p/>
    <w:p/>
    <w:p/>
    <w:p/>
    <w:p/>
    <w:p/>
    <w:p/>
    <w:p/>
    <w:p/>
    <w:p/>
    <w:p/>
    <w:p/>
    <w:p/>
    <w:p/>
    <w:p/>
    <w:p/>
    <w:p/>
    <w:p>
      <w:pPr>
        <w:jc w:val="center"/>
        <w:rPr>
          <w:rFonts w:ascii="Copperplate Gothic Bold" w:hAnsi="Copperplate Gothic Bold"/>
          <w:b/>
          <w:sz w:val="52"/>
          <w:szCs w:val="52"/>
        </w:rPr>
      </w:pPr>
      <w:r>
        <w:rPr>
          <w:rFonts w:ascii="Copperplate Gothic Bold" w:hAnsi="Copperplate Gothic Bold"/>
          <w:b/>
          <w:sz w:val="52"/>
          <w:szCs w:val="52"/>
        </w:rPr>
        <w:t>L160 – ADMINISTRATIVE LAW</w:t>
      </w:r>
    </w:p>
    <w:p>
      <w:pPr>
        <w:jc w:val="center"/>
        <w:rPr>
          <w:rFonts w:ascii="Copperplate Gothic Bold" w:hAnsi="Copperplate Gothic Bold"/>
          <w:b/>
          <w:sz w:val="52"/>
          <w:szCs w:val="52"/>
        </w:rPr>
      </w:pPr>
      <w:r>
        <w:rPr>
          <w:rFonts w:ascii="Copperplate Gothic Bold" w:hAnsi="Copperplate Gothic Bold"/>
          <w:b/>
          <w:sz w:val="52"/>
          <w:szCs w:val="52"/>
        </w:rPr>
        <w:t>2019</w:t>
      </w:r>
    </w:p>
    <w:p>
      <w:pPr>
        <w:jc w:val="center"/>
        <w:rPr>
          <w:rFonts w:ascii="Copperplate Gothic Bold" w:hAnsi="Copperplate Gothic Bold"/>
          <w:b/>
          <w:sz w:val="52"/>
          <w:szCs w:val="52"/>
        </w:rPr>
      </w:pPr>
    </w:p>
    <w:p>
      <w:pPr>
        <w:jc w:val="center"/>
        <w:rPr>
          <w:rFonts w:ascii="Copperplate Gothic Bold" w:hAnsi="Copperplate Gothic Bold"/>
          <w:b/>
          <w:sz w:val="52"/>
          <w:szCs w:val="52"/>
        </w:rPr>
      </w:pPr>
      <w:r>
        <w:rPr>
          <w:rFonts w:ascii="Copperplate Gothic Bold" w:hAnsi="Copperplate Gothic Bold"/>
          <w:b/>
          <w:sz w:val="52"/>
          <w:szCs w:val="52"/>
        </w:rPr>
        <w:drawing>
          <wp:anchor distT="0" distB="0" distL="114300" distR="114300" simplePos="0" relativeHeight="251659264" behindDoc="1" locked="0" layoutInCell="1" allowOverlap="1">
            <wp:simplePos x="0" y="0"/>
            <wp:positionH relativeFrom="margin">
              <wp:align>center</wp:align>
            </wp:positionH>
            <wp:positionV relativeFrom="margin">
              <wp:posOffset>-238125</wp:posOffset>
            </wp:positionV>
            <wp:extent cx="1335405" cy="196151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335405" cy="1961515"/>
                    </a:xfrm>
                    <a:prstGeom prst="rect">
                      <a:avLst/>
                    </a:prstGeom>
                    <a:noFill/>
                  </pic:spPr>
                </pic:pic>
              </a:graphicData>
            </a:graphic>
          </wp:anchor>
        </w:drawing>
      </w:r>
    </w:p>
    <w:p>
      <w:pPr>
        <w:jc w:val="center"/>
        <w:rPr>
          <w:rFonts w:ascii="Copperplate Gothic Bold" w:hAnsi="Copperplate Gothic Bold"/>
          <w:b/>
          <w:sz w:val="52"/>
          <w:szCs w:val="52"/>
        </w:rPr>
      </w:pPr>
    </w:p>
    <w:p>
      <w:pPr>
        <w:spacing w:after="0" w:line="0" w:lineRule="atLeast"/>
        <w:ind w:right="40"/>
        <w:jc w:val="center"/>
        <w:rPr>
          <w:rFonts w:ascii="Calibri" w:hAnsi="Calibri" w:eastAsia="Calibri" w:cs="Arial"/>
          <w:b/>
          <w:sz w:val="28"/>
          <w:szCs w:val="20"/>
        </w:rPr>
      </w:pPr>
    </w:p>
    <w:p>
      <w:pPr>
        <w:spacing w:after="0" w:line="0" w:lineRule="atLeast"/>
        <w:ind w:right="40"/>
        <w:rPr>
          <w:rFonts w:ascii="Calibri" w:hAnsi="Calibri" w:eastAsia="Calibri" w:cs="Arial"/>
          <w:b/>
          <w:sz w:val="28"/>
          <w:szCs w:val="20"/>
        </w:rPr>
      </w:pPr>
      <w:r>
        <w:rPr>
          <w:rFonts w:ascii="Calibri" w:hAnsi="Calibri" w:eastAsia="Calibri" w:cs="Arial"/>
          <w:sz w:val="24"/>
          <w:szCs w:val="20"/>
        </w:rPr>
        <w:drawing>
          <wp:anchor distT="0" distB="0" distL="114300" distR="114300" simplePos="0" relativeHeight="251670528" behindDoc="1" locked="0" layoutInCell="1" allowOverlap="1">
            <wp:simplePos x="0" y="0"/>
            <wp:positionH relativeFrom="column">
              <wp:posOffset>0</wp:posOffset>
            </wp:positionH>
            <wp:positionV relativeFrom="paragraph">
              <wp:posOffset>0</wp:posOffset>
            </wp:positionV>
            <wp:extent cx="1671955" cy="22860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671955" cy="228600"/>
                    </a:xfrm>
                    <a:prstGeom prst="rect">
                      <a:avLst/>
                    </a:prstGeom>
                    <a:noFill/>
                  </pic:spPr>
                </pic:pic>
              </a:graphicData>
            </a:graphic>
          </wp:anchor>
        </w:drawing>
      </w:r>
      <w:r>
        <w:rPr>
          <w:rFonts w:ascii="Calibri" w:hAnsi="Calibri" w:eastAsia="Calibri" w:cs="Arial"/>
          <w:b/>
          <w:sz w:val="28"/>
          <w:szCs w:val="20"/>
        </w:rPr>
        <w:t xml:space="preserve"> 1. Overview</w:t>
      </w:r>
    </w:p>
    <w:p>
      <w:pPr>
        <w:spacing w:after="0" w:line="245" w:lineRule="exact"/>
        <w:rPr>
          <w:rFonts w:ascii="Times New Roman" w:hAnsi="Times New Roman" w:eastAsia="Times New Roman" w:cs="Arial"/>
          <w:sz w:val="20"/>
          <w:szCs w:val="20"/>
        </w:rPr>
      </w:pPr>
    </w:p>
    <w:p>
      <w:pPr>
        <w:spacing w:after="0" w:line="196" w:lineRule="auto"/>
        <w:ind w:left="20"/>
        <w:jc w:val="both"/>
        <w:rPr>
          <w:rFonts w:ascii="Calibri" w:hAnsi="Calibri" w:eastAsia="Calibri" w:cs="Arial"/>
          <w:sz w:val="24"/>
          <w:szCs w:val="20"/>
        </w:rPr>
      </w:pPr>
      <w:r>
        <w:rPr>
          <w:rFonts w:ascii="Calibri" w:hAnsi="Calibri" w:eastAsia="Calibri" w:cs="Arial"/>
          <w:sz w:val="24"/>
          <w:szCs w:val="20"/>
        </w:rPr>
        <w:t>This course aims to enable students to know the important and sophisticated body of law governing the exercise and control of public power in Zambia. Students are introduced to the legal framework relating to the administrative process and legal instruments or tools employed to control the administrative actions or decisions.</w:t>
      </w:r>
    </w:p>
    <w:p>
      <w:pPr>
        <w:spacing w:after="0" w:line="196" w:lineRule="auto"/>
        <w:ind w:left="20"/>
        <w:jc w:val="both"/>
        <w:rPr>
          <w:rFonts w:ascii="Calibri" w:hAnsi="Calibri" w:eastAsia="Calibri" w:cs="Arial"/>
          <w:sz w:val="24"/>
          <w:szCs w:val="20"/>
        </w:rPr>
      </w:pPr>
    </w:p>
    <w:p>
      <w:pPr>
        <w:spacing w:after="0" w:line="196" w:lineRule="auto"/>
        <w:ind w:left="20"/>
        <w:jc w:val="both"/>
        <w:rPr>
          <w:rFonts w:ascii="Calibri" w:hAnsi="Calibri" w:eastAsia="Calibri" w:cs="Arial"/>
          <w:sz w:val="24"/>
          <w:szCs w:val="20"/>
        </w:rPr>
      </w:pPr>
      <w:r>
        <w:rPr>
          <w:rFonts w:ascii="Calibri" w:hAnsi="Calibri" w:eastAsia="Calibri" w:cs="Arial"/>
          <w:sz w:val="24"/>
          <w:szCs w:val="20"/>
        </w:rPr>
        <w:drawing>
          <wp:anchor distT="0" distB="0" distL="114300" distR="114300" simplePos="0" relativeHeight="251668480" behindDoc="1" locked="0" layoutInCell="1" allowOverlap="1">
            <wp:simplePos x="0" y="0"/>
            <wp:positionH relativeFrom="margin">
              <wp:align>left</wp:align>
            </wp:positionH>
            <wp:positionV relativeFrom="paragraph">
              <wp:posOffset>90805</wp:posOffset>
            </wp:positionV>
            <wp:extent cx="2533650" cy="3105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632429" cy="322935"/>
                    </a:xfrm>
                    <a:prstGeom prst="rect">
                      <a:avLst/>
                    </a:prstGeom>
                    <a:noFill/>
                  </pic:spPr>
                </pic:pic>
              </a:graphicData>
            </a:graphic>
          </wp:anchor>
        </w:drawing>
      </w:r>
    </w:p>
    <w:p>
      <w:pPr>
        <w:spacing w:after="0" w:line="196" w:lineRule="auto"/>
        <w:ind w:left="20"/>
        <w:jc w:val="both"/>
        <w:rPr>
          <w:rFonts w:ascii="Calibri" w:hAnsi="Calibri" w:eastAsia="Calibri" w:cs="Arial"/>
          <w:b/>
          <w:sz w:val="28"/>
          <w:szCs w:val="20"/>
        </w:rPr>
      </w:pPr>
      <w:r>
        <w:rPr>
          <w:rFonts w:ascii="Calibri" w:hAnsi="Calibri" w:eastAsia="Calibri" w:cs="Arial"/>
          <w:b/>
          <w:sz w:val="28"/>
          <w:szCs w:val="20"/>
        </w:rPr>
        <w:t xml:space="preserve"> 2. Assumptions of Prior Learning</w:t>
      </w:r>
    </w:p>
    <w:p>
      <w:pPr>
        <w:spacing w:after="0" w:line="196" w:lineRule="auto"/>
        <w:ind w:left="20"/>
        <w:jc w:val="both"/>
        <w:rPr>
          <w:rFonts w:ascii="Calibri" w:hAnsi="Calibri" w:eastAsia="Calibri" w:cs="Arial"/>
          <w:sz w:val="24"/>
          <w:szCs w:val="20"/>
        </w:rPr>
      </w:pPr>
    </w:p>
    <w:p>
      <w:pPr>
        <w:spacing w:after="0" w:line="0" w:lineRule="atLeast"/>
        <w:rPr>
          <w:rFonts w:ascii="Calibri" w:hAnsi="Calibri" w:eastAsia="Calibri" w:cs="Arial"/>
          <w:sz w:val="24"/>
          <w:szCs w:val="20"/>
        </w:rPr>
      </w:pPr>
      <w:r>
        <w:rPr>
          <w:rFonts w:ascii="Calibri" w:hAnsi="Calibri" w:eastAsia="Calibri" w:cs="Arial"/>
          <w:sz w:val="24"/>
          <w:szCs w:val="20"/>
        </w:rPr>
        <w:t>It is assumed that students:</w:t>
      </w:r>
    </w:p>
    <w:p>
      <w:pPr>
        <w:spacing w:after="0" w:line="240" w:lineRule="exact"/>
        <w:rPr>
          <w:rFonts w:ascii="Times New Roman" w:hAnsi="Times New Roman" w:eastAsia="Times New Roman" w:cs="Arial"/>
          <w:sz w:val="20"/>
          <w:szCs w:val="20"/>
        </w:rPr>
      </w:pPr>
    </w:p>
    <w:p>
      <w:pPr>
        <w:pStyle w:val="7"/>
        <w:numPr>
          <w:ilvl w:val="0"/>
          <w:numId w:val="1"/>
        </w:numPr>
        <w:tabs>
          <w:tab w:val="left" w:pos="740"/>
        </w:tabs>
        <w:spacing w:after="0" w:line="196" w:lineRule="auto"/>
        <w:ind w:right="6"/>
        <w:rPr>
          <w:rFonts w:ascii="Calibri" w:hAnsi="Calibri" w:eastAsia="Calibri" w:cs="Arial"/>
          <w:sz w:val="24"/>
          <w:szCs w:val="20"/>
        </w:rPr>
      </w:pPr>
      <w:r>
        <w:rPr>
          <w:rFonts w:ascii="Calibri" w:hAnsi="Calibri" w:eastAsia="Calibri" w:cs="Arial"/>
          <w:sz w:val="24"/>
          <w:szCs w:val="20"/>
        </w:rPr>
        <w:t>Understand Constitutional Law;</w:t>
      </w:r>
    </w:p>
    <w:p>
      <w:pPr>
        <w:spacing w:after="0" w:line="2" w:lineRule="exact"/>
        <w:rPr>
          <w:rFonts w:ascii="Calibri" w:hAnsi="Calibri" w:eastAsia="Calibri" w:cs="Arial"/>
          <w:sz w:val="24"/>
          <w:szCs w:val="20"/>
        </w:rPr>
      </w:pPr>
    </w:p>
    <w:p>
      <w:pPr>
        <w:pStyle w:val="7"/>
        <w:numPr>
          <w:ilvl w:val="0"/>
          <w:numId w:val="1"/>
        </w:numPr>
        <w:tabs>
          <w:tab w:val="left" w:pos="740"/>
        </w:tabs>
        <w:spacing w:after="0" w:line="196" w:lineRule="auto"/>
        <w:ind w:right="6"/>
        <w:rPr>
          <w:rFonts w:ascii="Calibri" w:hAnsi="Calibri" w:eastAsia="Calibri" w:cs="Arial"/>
          <w:sz w:val="24"/>
          <w:szCs w:val="20"/>
        </w:rPr>
      </w:pPr>
      <w:r>
        <w:rPr>
          <w:rFonts w:ascii="Calibri" w:hAnsi="Calibri" w:eastAsia="Calibri" w:cs="Arial"/>
          <w:sz w:val="24"/>
          <w:szCs w:val="20"/>
        </w:rPr>
        <w:t>Can read, analyze and extract the relevant information from case law and other sources;</w:t>
      </w:r>
    </w:p>
    <w:p>
      <w:pPr>
        <w:spacing w:after="0" w:line="1" w:lineRule="exact"/>
        <w:rPr>
          <w:rFonts w:ascii="Calibri" w:hAnsi="Calibri" w:eastAsia="Calibri" w:cs="Arial"/>
          <w:sz w:val="24"/>
          <w:szCs w:val="20"/>
        </w:rPr>
      </w:pPr>
    </w:p>
    <w:p>
      <w:pPr>
        <w:pStyle w:val="7"/>
        <w:numPr>
          <w:ilvl w:val="0"/>
          <w:numId w:val="1"/>
        </w:numPr>
        <w:tabs>
          <w:tab w:val="left" w:pos="720"/>
        </w:tabs>
        <w:spacing w:after="0" w:line="196" w:lineRule="auto"/>
        <w:rPr>
          <w:rFonts w:ascii="Calibri" w:hAnsi="Calibri" w:eastAsia="Calibri" w:cs="Arial"/>
          <w:sz w:val="24"/>
          <w:szCs w:val="20"/>
        </w:rPr>
      </w:pPr>
      <w:r>
        <w:rPr>
          <w:rFonts w:ascii="Calibri" w:hAnsi="Calibri" w:eastAsia="Calibri" w:cs="Arial"/>
          <w:sz w:val="24"/>
          <w:szCs w:val="20"/>
        </w:rPr>
        <w:t>Have ability to communicate effectively in the medium of instruction.</w:t>
      </w:r>
    </w:p>
    <w:p>
      <w:pPr>
        <w:spacing w:after="0" w:line="20" w:lineRule="exact"/>
        <w:rPr>
          <w:rFonts w:ascii="Times New Roman" w:hAnsi="Times New Roman" w:eastAsia="Times New Roman" w:cs="Arial"/>
          <w:sz w:val="20"/>
          <w:szCs w:val="20"/>
        </w:rPr>
      </w:pPr>
      <w:r>
        <w:rPr>
          <w:rFonts w:ascii="Calibri" w:hAnsi="Calibri" w:eastAsia="Calibri" w:cs="Arial"/>
          <w:sz w:val="24"/>
          <w:szCs w:val="20"/>
        </w:rPr>
        <w:drawing>
          <wp:anchor distT="0" distB="0" distL="114300" distR="114300" simplePos="0" relativeHeight="251661312" behindDoc="1" locked="0" layoutInCell="1" allowOverlap="1">
            <wp:simplePos x="0" y="0"/>
            <wp:positionH relativeFrom="column">
              <wp:posOffset>2428875</wp:posOffset>
            </wp:positionH>
            <wp:positionV relativeFrom="paragraph">
              <wp:posOffset>1270</wp:posOffset>
            </wp:positionV>
            <wp:extent cx="1294765" cy="16192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b="13909"/>
                    <a:stretch>
                      <a:fillRect/>
                    </a:stretch>
                  </pic:blipFill>
                  <pic:spPr>
                    <a:xfrm>
                      <a:off x="0" y="0"/>
                      <a:ext cx="1294765" cy="1619250"/>
                    </a:xfrm>
                    <a:prstGeom prst="rect">
                      <a:avLst/>
                    </a:prstGeom>
                    <a:noFill/>
                    <a:ln>
                      <a:noFill/>
                    </a:ln>
                  </pic:spPr>
                </pic:pic>
              </a:graphicData>
            </a:graphic>
          </wp:anchor>
        </w:drawing>
      </w: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jc w:val="both"/>
        <w:rPr>
          <w:rFonts w:ascii="Copperplate Gothic Bold" w:hAnsi="Copperplate Gothic Bold"/>
          <w:b/>
          <w:sz w:val="52"/>
          <w:szCs w:val="52"/>
        </w:rPr>
      </w:pPr>
    </w:p>
    <w:p>
      <w:pPr>
        <w:spacing w:after="0" w:line="360" w:lineRule="auto"/>
        <w:ind w:right="6"/>
        <w:rPr>
          <w:rFonts w:ascii="Calibri" w:hAnsi="Calibri" w:eastAsia="Calibri" w:cs="Arial"/>
          <w:b/>
          <w:sz w:val="28"/>
          <w:szCs w:val="20"/>
        </w:rPr>
      </w:pPr>
      <w:r>
        <w:rPr>
          <w:rFonts w:ascii="Calibri" w:hAnsi="Calibri" w:eastAsia="Calibri" w:cs="Arial"/>
          <w:sz w:val="24"/>
          <w:szCs w:val="20"/>
        </w:rPr>
        <w:drawing>
          <wp:anchor distT="0" distB="0" distL="114300" distR="114300" simplePos="0" relativeHeight="251666432" behindDoc="1" locked="0" layoutInCell="1" allowOverlap="1">
            <wp:simplePos x="0" y="0"/>
            <wp:positionH relativeFrom="column">
              <wp:posOffset>0</wp:posOffset>
            </wp:positionH>
            <wp:positionV relativeFrom="paragraph">
              <wp:posOffset>0</wp:posOffset>
            </wp:positionV>
            <wp:extent cx="1671955" cy="22860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671955" cy="228600"/>
                    </a:xfrm>
                    <a:prstGeom prst="rect">
                      <a:avLst/>
                    </a:prstGeom>
                    <a:noFill/>
                  </pic:spPr>
                </pic:pic>
              </a:graphicData>
            </a:graphic>
          </wp:anchor>
        </w:drawing>
      </w:r>
      <w:r>
        <w:rPr>
          <w:rFonts w:ascii="Calibri" w:hAnsi="Calibri" w:eastAsia="Calibri" w:cs="Arial"/>
          <w:b/>
          <w:sz w:val="28"/>
          <w:szCs w:val="20"/>
        </w:rPr>
        <w:t xml:space="preserve"> 3. Outcomes</w:t>
      </w:r>
    </w:p>
    <w:p>
      <w:pPr>
        <w:spacing w:after="0" w:line="360" w:lineRule="auto"/>
        <w:ind w:right="6"/>
        <w:rPr>
          <w:rFonts w:ascii="Calibri" w:hAnsi="Calibri" w:eastAsia="Calibri" w:cs="Arial"/>
          <w:b/>
          <w:sz w:val="28"/>
          <w:szCs w:val="20"/>
        </w:rPr>
      </w:pPr>
      <w:r>
        <w:rPr>
          <w:rFonts w:ascii="Calibri" w:hAnsi="Calibri" w:eastAsia="Calibri" w:cs="Arial"/>
          <w:b/>
          <w:sz w:val="24"/>
          <w:szCs w:val="20"/>
        </w:rPr>
        <w:t>3.1 Specific Outcomes</w:t>
      </w:r>
    </w:p>
    <w:p>
      <w:pPr>
        <w:spacing w:after="0" w:line="240" w:lineRule="exact"/>
        <w:rPr>
          <w:rFonts w:ascii="Times New Roman" w:hAnsi="Times New Roman" w:eastAsia="Times New Roman" w:cs="Arial"/>
          <w:sz w:val="20"/>
          <w:szCs w:val="20"/>
        </w:rPr>
      </w:pPr>
    </w:p>
    <w:p>
      <w:pPr>
        <w:spacing w:after="0" w:line="196" w:lineRule="auto"/>
        <w:ind w:left="20" w:right="26"/>
        <w:rPr>
          <w:rFonts w:ascii="Calibri" w:hAnsi="Calibri" w:eastAsia="Calibri" w:cs="Arial"/>
          <w:sz w:val="24"/>
          <w:szCs w:val="20"/>
        </w:rPr>
      </w:pPr>
      <w:r>
        <w:rPr>
          <w:rFonts w:ascii="Calibri" w:hAnsi="Calibri" w:eastAsia="Calibri" w:cs="Arial"/>
          <w:sz w:val="24"/>
          <w:szCs w:val="20"/>
        </w:rPr>
        <w:t>At the end of the course and after studying the prescribed materials the students should be able to do the following:</w:t>
      </w:r>
    </w:p>
    <w:p>
      <w:pPr>
        <w:pStyle w:val="7"/>
        <w:numPr>
          <w:ilvl w:val="0"/>
          <w:numId w:val="2"/>
        </w:numPr>
        <w:spacing w:after="0" w:line="196" w:lineRule="auto"/>
        <w:ind w:right="26"/>
        <w:rPr>
          <w:rFonts w:ascii="Calibri" w:hAnsi="Calibri" w:eastAsia="Calibri" w:cs="Arial"/>
          <w:sz w:val="24"/>
          <w:szCs w:val="20"/>
        </w:rPr>
      </w:pPr>
      <w:r>
        <w:rPr>
          <w:rFonts w:ascii="Calibri" w:hAnsi="Calibri" w:eastAsia="Calibri" w:cs="Arial"/>
          <w:sz w:val="24"/>
          <w:szCs w:val="20"/>
        </w:rPr>
        <w:t>To critically explain different concepts and principles relating to administrative law and administrative justice in Zambia.</w:t>
      </w:r>
    </w:p>
    <w:p>
      <w:pPr>
        <w:pStyle w:val="7"/>
        <w:numPr>
          <w:ilvl w:val="0"/>
          <w:numId w:val="2"/>
        </w:numPr>
        <w:spacing w:after="0" w:line="196" w:lineRule="auto"/>
        <w:ind w:right="26"/>
        <w:rPr>
          <w:rFonts w:ascii="Calibri" w:hAnsi="Calibri" w:eastAsia="Calibri" w:cs="Arial"/>
          <w:sz w:val="24"/>
          <w:szCs w:val="20"/>
        </w:rPr>
      </w:pPr>
      <w:r>
        <w:rPr>
          <w:rFonts w:ascii="Calibri" w:hAnsi="Calibri" w:eastAsia="Calibri" w:cs="Arial"/>
          <w:sz w:val="24"/>
          <w:szCs w:val="20"/>
        </w:rPr>
        <w:t>To identify the sources of administrative law and to explain the development of administrative law in Zambia.</w:t>
      </w:r>
    </w:p>
    <w:p>
      <w:pPr>
        <w:spacing w:after="0" w:line="1" w:lineRule="exact"/>
        <w:rPr>
          <w:rFonts w:ascii="Times New Roman" w:hAnsi="Times New Roman" w:eastAsia="Times New Roman" w:cs="Arial"/>
          <w:sz w:val="20"/>
          <w:szCs w:val="20"/>
        </w:rPr>
      </w:pPr>
    </w:p>
    <w:p>
      <w:pPr>
        <w:spacing w:after="0" w:line="1" w:lineRule="exact"/>
        <w:rPr>
          <w:rFonts w:ascii="Times New Roman" w:hAnsi="Times New Roman" w:eastAsia="Times New Roman" w:cs="Arial"/>
          <w:sz w:val="20"/>
          <w:szCs w:val="20"/>
        </w:rPr>
      </w:pPr>
    </w:p>
    <w:p>
      <w:pPr>
        <w:spacing w:after="0" w:line="1" w:lineRule="exact"/>
        <w:rPr>
          <w:rFonts w:ascii="Times New Roman" w:hAnsi="Times New Roman" w:eastAsia="Times New Roman" w:cs="Arial"/>
          <w:sz w:val="20"/>
          <w:szCs w:val="20"/>
        </w:rPr>
      </w:pPr>
    </w:p>
    <w:p>
      <w:pPr>
        <w:pStyle w:val="7"/>
        <w:numPr>
          <w:ilvl w:val="0"/>
          <w:numId w:val="2"/>
        </w:numPr>
        <w:spacing w:after="0" w:line="196" w:lineRule="auto"/>
        <w:ind w:right="6"/>
        <w:rPr>
          <w:rFonts w:ascii="Calibri" w:hAnsi="Calibri" w:eastAsia="Calibri" w:cs="Arial"/>
          <w:sz w:val="24"/>
          <w:szCs w:val="20"/>
        </w:rPr>
      </w:pPr>
      <w:r>
        <w:rPr>
          <w:rFonts w:ascii="Calibri" w:hAnsi="Calibri" w:eastAsia="Calibri" w:cs="Arial"/>
          <w:sz w:val="24"/>
          <w:szCs w:val="20"/>
        </w:rPr>
        <w:t>Define judicial review and its purpose as well as explain what judicial control over administrative action entails;</w:t>
      </w:r>
    </w:p>
    <w:p>
      <w:pPr>
        <w:pStyle w:val="7"/>
        <w:numPr>
          <w:ilvl w:val="0"/>
          <w:numId w:val="2"/>
        </w:numPr>
        <w:spacing w:after="0" w:line="196" w:lineRule="auto"/>
        <w:ind w:right="6"/>
        <w:rPr>
          <w:rFonts w:ascii="Calibri" w:hAnsi="Calibri" w:eastAsia="Calibri" w:cs="Arial"/>
          <w:sz w:val="24"/>
          <w:szCs w:val="20"/>
        </w:rPr>
      </w:pPr>
      <w:r>
        <w:rPr>
          <w:rFonts w:ascii="Calibri" w:hAnsi="Calibri" w:eastAsia="Calibri" w:cs="Arial"/>
          <w:sz w:val="24"/>
          <w:szCs w:val="20"/>
        </w:rPr>
        <w:t>Demonstrate an understanding of the Judicial and Parliamentary controls of administrative actions;</w:t>
      </w:r>
    </w:p>
    <w:p>
      <w:pPr>
        <w:pStyle w:val="7"/>
        <w:numPr>
          <w:ilvl w:val="0"/>
          <w:numId w:val="2"/>
        </w:numPr>
        <w:spacing w:line="196" w:lineRule="auto"/>
        <w:ind w:right="6"/>
        <w:rPr>
          <w:sz w:val="24"/>
        </w:rPr>
      </w:pPr>
      <w:r>
        <w:rPr>
          <w:sz w:val="24"/>
        </w:rPr>
        <w:t>Identify the appropriate procedure and remedies available to persons aggrieved by an administrative action.</w:t>
      </w:r>
    </w:p>
    <w:p>
      <w:pPr>
        <w:pStyle w:val="7"/>
        <w:numPr>
          <w:ilvl w:val="0"/>
          <w:numId w:val="2"/>
        </w:numPr>
        <w:spacing w:after="0" w:line="196" w:lineRule="auto"/>
        <w:ind w:right="6"/>
        <w:rPr>
          <w:rFonts w:ascii="Calibri" w:hAnsi="Calibri" w:eastAsia="Calibri" w:cs="Arial"/>
          <w:sz w:val="24"/>
          <w:szCs w:val="20"/>
        </w:rPr>
      </w:pPr>
      <w:r>
        <w:rPr>
          <w:rFonts w:ascii="Calibri" w:hAnsi="Calibri" w:eastAsia="Calibri" w:cs="Arial"/>
          <w:sz w:val="24"/>
          <w:szCs w:val="20"/>
        </w:rPr>
        <w:t>To apply the rules and regulations on administrative law to a given hypothetical situation.</w:t>
      </w:r>
    </w:p>
    <w:p>
      <w:pPr>
        <w:spacing w:after="0" w:line="196" w:lineRule="auto"/>
        <w:ind w:right="6"/>
        <w:rPr>
          <w:rFonts w:ascii="Calibri" w:hAnsi="Calibri" w:eastAsia="Calibri" w:cs="Arial"/>
          <w:sz w:val="24"/>
          <w:szCs w:val="20"/>
        </w:rPr>
      </w:pPr>
    </w:p>
    <w:p>
      <w:pPr>
        <w:spacing w:after="0" w:line="0" w:lineRule="atLeast"/>
        <w:ind w:left="20"/>
        <w:rPr>
          <w:rFonts w:ascii="Calibri" w:hAnsi="Calibri" w:eastAsia="Calibri" w:cs="Arial"/>
          <w:b/>
          <w:sz w:val="24"/>
          <w:szCs w:val="20"/>
          <w:u w:val="single"/>
        </w:rPr>
      </w:pPr>
      <w:r>
        <w:rPr>
          <w:rFonts w:ascii="Calibri" w:hAnsi="Calibri" w:eastAsia="Calibri" w:cs="Arial"/>
          <w:b/>
          <w:sz w:val="24"/>
          <w:szCs w:val="20"/>
        </w:rPr>
        <w:t>3.2. Critical Outcomes</w:t>
      </w:r>
    </w:p>
    <w:p>
      <w:pPr>
        <w:spacing w:after="0" w:line="240" w:lineRule="exact"/>
        <w:rPr>
          <w:rFonts w:ascii="Times New Roman" w:hAnsi="Times New Roman" w:eastAsia="Times New Roman" w:cs="Arial"/>
          <w:sz w:val="20"/>
          <w:szCs w:val="20"/>
        </w:rPr>
      </w:pPr>
    </w:p>
    <w:p>
      <w:pPr>
        <w:spacing w:after="0" w:line="196" w:lineRule="auto"/>
        <w:ind w:right="66"/>
        <w:jc w:val="both"/>
        <w:rPr>
          <w:rFonts w:ascii="Calibri" w:hAnsi="Calibri" w:eastAsia="Calibri" w:cs="Arial"/>
          <w:sz w:val="24"/>
          <w:szCs w:val="20"/>
        </w:rPr>
      </w:pPr>
      <w:r>
        <w:rPr>
          <w:rFonts w:ascii="Calibri" w:hAnsi="Calibri" w:eastAsia="Calibri" w:cs="Arial"/>
          <w:sz w:val="24"/>
          <w:szCs w:val="20"/>
        </w:rPr>
        <w:t>Apart from the knowledge and skills which relate specifically to Administrative law, the following are the skills that are central to the study and practice of the law which this course intends to enhance, namely:-</w:t>
      </w:r>
    </w:p>
    <w:p>
      <w:pPr>
        <w:spacing w:after="0" w:line="181" w:lineRule="exact"/>
        <w:rPr>
          <w:rFonts w:ascii="Times New Roman" w:hAnsi="Times New Roman" w:eastAsia="Times New Roman" w:cs="Arial"/>
          <w:sz w:val="20"/>
          <w:szCs w:val="20"/>
        </w:rPr>
      </w:pPr>
    </w:p>
    <w:p>
      <w:pPr>
        <w:pStyle w:val="7"/>
        <w:numPr>
          <w:ilvl w:val="0"/>
          <w:numId w:val="3"/>
        </w:numPr>
        <w:spacing w:after="0" w:line="196" w:lineRule="auto"/>
        <w:ind w:right="46"/>
        <w:rPr>
          <w:rFonts w:ascii="Calibri" w:hAnsi="Calibri" w:eastAsia="Calibri" w:cs="Arial"/>
          <w:sz w:val="24"/>
          <w:szCs w:val="20"/>
        </w:rPr>
      </w:pPr>
      <w:r>
        <w:rPr>
          <w:rFonts w:ascii="Calibri" w:hAnsi="Calibri" w:eastAsia="Calibri" w:cs="Arial"/>
          <w:sz w:val="24"/>
          <w:szCs w:val="20"/>
        </w:rPr>
        <w:t>Ability to collect, understand and analyze information from various sources of information (cases, legislation and journal articles).</w:t>
      </w:r>
    </w:p>
    <w:p>
      <w:pPr>
        <w:spacing w:after="0" w:line="62" w:lineRule="exact"/>
        <w:rPr>
          <w:rFonts w:ascii="Times New Roman" w:hAnsi="Times New Roman" w:eastAsia="Times New Roman" w:cs="Arial"/>
          <w:sz w:val="20"/>
          <w:szCs w:val="20"/>
        </w:rPr>
      </w:pPr>
    </w:p>
    <w:p>
      <w:pPr>
        <w:pStyle w:val="7"/>
        <w:numPr>
          <w:ilvl w:val="0"/>
          <w:numId w:val="3"/>
        </w:numPr>
        <w:spacing w:after="0" w:line="196" w:lineRule="auto"/>
        <w:rPr>
          <w:rFonts w:ascii="Calibri" w:hAnsi="Calibri" w:eastAsia="Calibri" w:cs="Arial"/>
          <w:sz w:val="24"/>
          <w:szCs w:val="20"/>
        </w:rPr>
      </w:pPr>
      <w:r>
        <w:rPr>
          <w:rFonts w:ascii="Calibri" w:hAnsi="Calibri" w:eastAsia="Calibri" w:cs="Arial"/>
          <w:sz w:val="24"/>
          <w:szCs w:val="20"/>
        </w:rPr>
        <w:t>To communicate effectively through class debates and presentations.</w:t>
      </w:r>
    </w:p>
    <w:p>
      <w:pPr>
        <w:pStyle w:val="7"/>
        <w:numPr>
          <w:ilvl w:val="0"/>
          <w:numId w:val="3"/>
        </w:numPr>
        <w:spacing w:after="0" w:line="196" w:lineRule="auto"/>
        <w:ind w:right="46"/>
        <w:jc w:val="both"/>
        <w:rPr>
          <w:rFonts w:ascii="Calibri" w:hAnsi="Calibri" w:eastAsia="Calibri" w:cs="Arial"/>
          <w:sz w:val="24"/>
          <w:szCs w:val="20"/>
        </w:rPr>
      </w:pPr>
      <w:r>
        <w:rPr>
          <w:rFonts w:ascii="Calibri" w:hAnsi="Calibri" w:eastAsia="Calibri" w:cs="Arial"/>
          <w:sz w:val="24"/>
          <w:szCs w:val="20"/>
        </w:rPr>
        <w:t xml:space="preserve">The ability to explain in writing, the principles of law in legal and social contexts. </w:t>
      </w:r>
    </w:p>
    <w:p>
      <w:pPr>
        <w:spacing w:after="0" w:line="20" w:lineRule="exact"/>
        <w:rPr>
          <w:rFonts w:ascii="Times New Roman" w:hAnsi="Times New Roman" w:eastAsia="Times New Roman" w:cs="Arial"/>
          <w:sz w:val="20"/>
          <w:szCs w:val="20"/>
        </w:rPr>
      </w:pPr>
      <w:r>
        <w:rPr>
          <w:rFonts w:ascii="Calibri" w:hAnsi="Calibri" w:eastAsia="Calibri" w:cs="Arial"/>
          <w:sz w:val="24"/>
          <w:szCs w:val="20"/>
        </w:rPr>
        <w:drawing>
          <wp:anchor distT="0" distB="0" distL="114300" distR="114300" simplePos="0" relativeHeight="251663360" behindDoc="1" locked="0" layoutInCell="1" allowOverlap="1">
            <wp:simplePos x="0" y="0"/>
            <wp:positionH relativeFrom="column">
              <wp:posOffset>2038350</wp:posOffset>
            </wp:positionH>
            <wp:positionV relativeFrom="paragraph">
              <wp:posOffset>271780</wp:posOffset>
            </wp:positionV>
            <wp:extent cx="1632585" cy="1699895"/>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632585" cy="1699895"/>
                    </a:xfrm>
                    <a:prstGeom prst="rect">
                      <a:avLst/>
                    </a:prstGeom>
                    <a:noFill/>
                  </pic:spPr>
                </pic:pic>
              </a:graphicData>
            </a:graphic>
          </wp:anchor>
        </w:drawing>
      </w: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jc w:val="both"/>
        <w:rPr>
          <w:rFonts w:ascii="Copperplate Gothic Bold" w:hAnsi="Copperplate Gothic Bold"/>
          <w:b/>
          <w:sz w:val="52"/>
          <w:szCs w:val="52"/>
        </w:rPr>
      </w:pPr>
      <w:r>
        <w:rPr>
          <w:rFonts w:ascii="Calibri" w:hAnsi="Calibri" w:eastAsia="Calibri" w:cs="Arial"/>
          <w:sz w:val="24"/>
          <w:szCs w:val="20"/>
        </w:rPr>
        <w:drawing>
          <wp:anchor distT="0" distB="0" distL="114300" distR="114300" simplePos="0" relativeHeight="251664384" behindDoc="1" locked="0" layoutInCell="1" allowOverlap="1">
            <wp:simplePos x="0" y="0"/>
            <wp:positionH relativeFrom="margin">
              <wp:posOffset>47625</wp:posOffset>
            </wp:positionH>
            <wp:positionV relativeFrom="paragraph">
              <wp:posOffset>685800</wp:posOffset>
            </wp:positionV>
            <wp:extent cx="2314575" cy="342265"/>
            <wp:effectExtent l="0" t="0" r="952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16225" cy="342509"/>
                    </a:xfrm>
                    <a:prstGeom prst="rect">
                      <a:avLst/>
                    </a:prstGeom>
                    <a:noFill/>
                  </pic:spPr>
                </pic:pic>
              </a:graphicData>
            </a:graphic>
          </wp:anchor>
        </w:drawing>
      </w:r>
    </w:p>
    <w:p>
      <w:pPr>
        <w:tabs>
          <w:tab w:val="left" w:pos="4125"/>
        </w:tabs>
        <w:spacing w:line="276" w:lineRule="auto"/>
        <w:rPr>
          <w:rFonts w:cstheme="minorHAnsi"/>
          <w:b/>
          <w:sz w:val="28"/>
          <w:szCs w:val="28"/>
        </w:rPr>
      </w:pPr>
      <w:r>
        <w:rPr>
          <w:rFonts w:cstheme="minorHAnsi"/>
          <w:b/>
          <w:sz w:val="28"/>
          <w:szCs w:val="28"/>
        </w:rPr>
        <w:t xml:space="preserve"> 4. Course Content and Outline</w:t>
      </w:r>
      <w:r>
        <w:rPr>
          <w:rFonts w:cstheme="minorHAnsi"/>
          <w:b/>
          <w:sz w:val="28"/>
          <w:szCs w:val="28"/>
        </w:rPr>
        <w:tab/>
      </w:r>
    </w:p>
    <w:p>
      <w:pPr>
        <w:tabs>
          <w:tab w:val="left" w:pos="4125"/>
        </w:tabs>
        <w:spacing w:line="276" w:lineRule="auto"/>
        <w:rPr>
          <w:rFonts w:cstheme="minorHAnsi"/>
          <w:sz w:val="24"/>
          <w:szCs w:val="24"/>
        </w:rPr>
      </w:pPr>
      <w:r>
        <w:rPr>
          <w:rFonts w:cstheme="minorHAnsi"/>
          <w:sz w:val="24"/>
          <w:szCs w:val="24"/>
        </w:rPr>
        <w:t>The topics to be covered in the course include the following:</w:t>
      </w:r>
    </w:p>
    <w:p>
      <w:pPr>
        <w:tabs>
          <w:tab w:val="left" w:pos="4125"/>
        </w:tabs>
        <w:spacing w:line="276" w:lineRule="auto"/>
        <w:rPr>
          <w:rFonts w:cstheme="minorHAnsi"/>
          <w:b/>
          <w:sz w:val="24"/>
          <w:szCs w:val="24"/>
        </w:rPr>
      </w:pPr>
      <w:r>
        <w:rPr>
          <w:rFonts w:cstheme="minorHAnsi"/>
          <w:b/>
          <w:sz w:val="24"/>
          <w:szCs w:val="24"/>
        </w:rPr>
        <w:t>UNIT 1: THE NATURE AND PURPOSE OF ADMINISTRATIVE LAW</w:t>
      </w:r>
    </w:p>
    <w:p>
      <w:pPr>
        <w:pStyle w:val="7"/>
        <w:numPr>
          <w:ilvl w:val="1"/>
          <w:numId w:val="4"/>
        </w:numPr>
        <w:tabs>
          <w:tab w:val="left" w:pos="4125"/>
        </w:tabs>
        <w:spacing w:line="276" w:lineRule="auto"/>
        <w:rPr>
          <w:rFonts w:cstheme="minorHAnsi"/>
          <w:sz w:val="24"/>
          <w:szCs w:val="24"/>
        </w:rPr>
      </w:pPr>
      <w:r>
        <w:rPr>
          <w:rFonts w:cstheme="minorHAnsi"/>
          <w:sz w:val="24"/>
          <w:szCs w:val="24"/>
        </w:rPr>
        <w:t xml:space="preserve">   Definition of Administrative Law</w:t>
      </w:r>
    </w:p>
    <w:p>
      <w:pPr>
        <w:pStyle w:val="7"/>
        <w:numPr>
          <w:ilvl w:val="1"/>
          <w:numId w:val="4"/>
        </w:numPr>
        <w:tabs>
          <w:tab w:val="left" w:pos="4125"/>
        </w:tabs>
        <w:spacing w:line="276" w:lineRule="auto"/>
        <w:rPr>
          <w:rFonts w:cstheme="minorHAnsi"/>
          <w:sz w:val="24"/>
          <w:szCs w:val="24"/>
        </w:rPr>
      </w:pPr>
      <w:r>
        <w:rPr>
          <w:rFonts w:cstheme="minorHAnsi"/>
          <w:sz w:val="24"/>
          <w:szCs w:val="24"/>
        </w:rPr>
        <w:t xml:space="preserve">   Administrative Law Distinguished from Constitutional Law</w:t>
      </w:r>
    </w:p>
    <w:p>
      <w:pPr>
        <w:pStyle w:val="7"/>
        <w:numPr>
          <w:ilvl w:val="1"/>
          <w:numId w:val="4"/>
        </w:numPr>
        <w:tabs>
          <w:tab w:val="left" w:pos="4125"/>
        </w:tabs>
        <w:spacing w:line="276" w:lineRule="auto"/>
        <w:rPr>
          <w:rFonts w:cstheme="minorHAnsi"/>
          <w:sz w:val="24"/>
          <w:szCs w:val="24"/>
        </w:rPr>
      </w:pPr>
      <w:r>
        <w:rPr>
          <w:rFonts w:cstheme="minorHAnsi"/>
          <w:sz w:val="24"/>
          <w:szCs w:val="24"/>
        </w:rPr>
        <w:t xml:space="preserve">   The History and Development of Administrative Law in Zambia</w:t>
      </w:r>
    </w:p>
    <w:p>
      <w:pPr>
        <w:pStyle w:val="7"/>
        <w:numPr>
          <w:ilvl w:val="1"/>
          <w:numId w:val="4"/>
        </w:numPr>
        <w:tabs>
          <w:tab w:val="left" w:pos="4125"/>
        </w:tabs>
        <w:spacing w:line="276" w:lineRule="auto"/>
        <w:rPr>
          <w:rFonts w:cstheme="minorHAnsi"/>
          <w:sz w:val="24"/>
          <w:szCs w:val="24"/>
        </w:rPr>
      </w:pPr>
      <w:r>
        <w:rPr>
          <w:rFonts w:cstheme="minorHAnsi"/>
          <w:sz w:val="24"/>
          <w:szCs w:val="24"/>
        </w:rPr>
        <w:t xml:space="preserve">   The Growth and Causes of Growth of Administrative Law</w:t>
      </w:r>
    </w:p>
    <w:p>
      <w:pPr>
        <w:pStyle w:val="7"/>
        <w:numPr>
          <w:ilvl w:val="1"/>
          <w:numId w:val="4"/>
        </w:numPr>
        <w:tabs>
          <w:tab w:val="left" w:pos="4125"/>
        </w:tabs>
        <w:spacing w:line="276" w:lineRule="auto"/>
        <w:rPr>
          <w:rFonts w:cstheme="minorHAnsi"/>
          <w:sz w:val="24"/>
          <w:szCs w:val="24"/>
        </w:rPr>
      </w:pPr>
      <w:r>
        <w:rPr>
          <w:rFonts w:cstheme="minorHAnsi"/>
          <w:sz w:val="24"/>
          <w:szCs w:val="24"/>
        </w:rPr>
        <w:t xml:space="preserve">   Legal Framework of Public Administration in Zambia</w:t>
      </w:r>
    </w:p>
    <w:p>
      <w:pPr>
        <w:pStyle w:val="7"/>
        <w:numPr>
          <w:ilvl w:val="1"/>
          <w:numId w:val="4"/>
        </w:numPr>
        <w:tabs>
          <w:tab w:val="left" w:pos="4125"/>
        </w:tabs>
        <w:spacing w:line="276" w:lineRule="auto"/>
        <w:rPr>
          <w:rFonts w:cstheme="minorHAnsi"/>
          <w:sz w:val="24"/>
          <w:szCs w:val="24"/>
        </w:rPr>
      </w:pPr>
      <w:r>
        <w:rPr>
          <w:rFonts w:cstheme="minorHAnsi"/>
          <w:sz w:val="24"/>
          <w:szCs w:val="24"/>
        </w:rPr>
        <w:t xml:space="preserve">   Scope of Administrative Law</w:t>
      </w:r>
    </w:p>
    <w:p>
      <w:pPr>
        <w:pStyle w:val="7"/>
        <w:numPr>
          <w:ilvl w:val="1"/>
          <w:numId w:val="4"/>
        </w:numPr>
        <w:tabs>
          <w:tab w:val="left" w:pos="4125"/>
        </w:tabs>
        <w:spacing w:line="276" w:lineRule="auto"/>
        <w:rPr>
          <w:rFonts w:cstheme="minorHAnsi"/>
          <w:sz w:val="24"/>
          <w:szCs w:val="24"/>
        </w:rPr>
      </w:pPr>
      <w:r>
        <w:rPr>
          <w:rFonts w:cstheme="minorHAnsi"/>
          <w:sz w:val="24"/>
          <w:szCs w:val="24"/>
        </w:rPr>
        <w:t xml:space="preserve">   Sources of Administrative Law</w:t>
      </w:r>
    </w:p>
    <w:p>
      <w:pPr>
        <w:pStyle w:val="7"/>
        <w:numPr>
          <w:ilvl w:val="1"/>
          <w:numId w:val="4"/>
        </w:numPr>
        <w:tabs>
          <w:tab w:val="left" w:pos="4125"/>
        </w:tabs>
        <w:spacing w:line="276" w:lineRule="auto"/>
        <w:rPr>
          <w:rFonts w:cstheme="minorHAnsi"/>
          <w:sz w:val="24"/>
          <w:szCs w:val="24"/>
        </w:rPr>
      </w:pPr>
      <w:r>
        <w:rPr>
          <w:rFonts w:cstheme="minorHAnsi"/>
          <w:sz w:val="24"/>
          <w:szCs w:val="24"/>
        </w:rPr>
        <w:t xml:space="preserve">   Reasons for Study of Administrative Law in Zambia</w:t>
      </w:r>
    </w:p>
    <w:p>
      <w:pPr>
        <w:tabs>
          <w:tab w:val="left" w:pos="4125"/>
        </w:tabs>
        <w:spacing w:line="276" w:lineRule="auto"/>
        <w:rPr>
          <w:rFonts w:cstheme="minorHAnsi"/>
          <w:b/>
          <w:sz w:val="24"/>
          <w:szCs w:val="24"/>
        </w:rPr>
      </w:pPr>
      <w:r>
        <w:rPr>
          <w:rFonts w:cstheme="minorHAnsi"/>
          <w:b/>
          <w:sz w:val="24"/>
          <w:szCs w:val="24"/>
        </w:rPr>
        <w:t>UNIT 2: THE CONSTITUTIONAL FRAMEWORK OF ADMINISTRATIVE LAW</w:t>
      </w:r>
    </w:p>
    <w:p>
      <w:pPr>
        <w:pStyle w:val="7"/>
        <w:numPr>
          <w:ilvl w:val="1"/>
          <w:numId w:val="5"/>
        </w:numPr>
        <w:tabs>
          <w:tab w:val="left" w:pos="4125"/>
        </w:tabs>
        <w:spacing w:after="0" w:line="240" w:lineRule="auto"/>
        <w:rPr>
          <w:rFonts w:cstheme="minorHAnsi"/>
          <w:sz w:val="24"/>
          <w:szCs w:val="24"/>
        </w:rPr>
      </w:pPr>
      <w:r>
        <w:rPr>
          <w:rFonts w:cstheme="minorHAnsi"/>
          <w:sz w:val="24"/>
          <w:szCs w:val="24"/>
        </w:rPr>
        <w:t xml:space="preserve">   Supremacy of the Constitution</w:t>
      </w:r>
    </w:p>
    <w:p>
      <w:pPr>
        <w:pStyle w:val="7"/>
        <w:numPr>
          <w:ilvl w:val="1"/>
          <w:numId w:val="5"/>
        </w:numPr>
        <w:tabs>
          <w:tab w:val="left" w:pos="4125"/>
        </w:tabs>
        <w:spacing w:after="0" w:line="240" w:lineRule="auto"/>
        <w:rPr>
          <w:rFonts w:cstheme="minorHAnsi"/>
          <w:sz w:val="24"/>
          <w:szCs w:val="24"/>
        </w:rPr>
      </w:pPr>
      <w:r>
        <w:rPr>
          <w:rFonts w:cstheme="minorHAnsi"/>
          <w:sz w:val="24"/>
          <w:szCs w:val="24"/>
        </w:rPr>
        <w:t xml:space="preserve">   Doctrine of Separation of Powers </w:t>
      </w:r>
    </w:p>
    <w:p>
      <w:pPr>
        <w:pStyle w:val="7"/>
        <w:numPr>
          <w:ilvl w:val="1"/>
          <w:numId w:val="5"/>
        </w:numPr>
        <w:tabs>
          <w:tab w:val="left" w:pos="4125"/>
        </w:tabs>
        <w:spacing w:after="0" w:line="240" w:lineRule="auto"/>
        <w:rPr>
          <w:rFonts w:cstheme="minorHAnsi"/>
          <w:sz w:val="24"/>
          <w:szCs w:val="24"/>
        </w:rPr>
      </w:pPr>
      <w:r>
        <w:rPr>
          <w:rFonts w:cstheme="minorHAnsi"/>
          <w:sz w:val="24"/>
          <w:szCs w:val="24"/>
        </w:rPr>
        <w:t xml:space="preserve">   Rule of Law</w:t>
      </w:r>
    </w:p>
    <w:p>
      <w:pPr>
        <w:tabs>
          <w:tab w:val="left" w:pos="4125"/>
        </w:tabs>
        <w:spacing w:after="0" w:line="240" w:lineRule="auto"/>
        <w:rPr>
          <w:rFonts w:cstheme="minorHAnsi"/>
          <w:sz w:val="24"/>
          <w:szCs w:val="24"/>
        </w:rPr>
      </w:pPr>
    </w:p>
    <w:p>
      <w:pPr>
        <w:tabs>
          <w:tab w:val="left" w:pos="4125"/>
        </w:tabs>
        <w:spacing w:after="0" w:line="240" w:lineRule="auto"/>
        <w:rPr>
          <w:rFonts w:cstheme="minorHAnsi"/>
          <w:b/>
          <w:sz w:val="24"/>
          <w:szCs w:val="24"/>
        </w:rPr>
      </w:pPr>
      <w:r>
        <w:rPr>
          <w:rFonts w:cstheme="minorHAnsi"/>
          <w:b/>
          <w:sz w:val="24"/>
          <w:szCs w:val="24"/>
        </w:rPr>
        <w:t>UNIT 3: DISCRETIONARY POWER</w:t>
      </w:r>
    </w:p>
    <w:p>
      <w:pPr>
        <w:tabs>
          <w:tab w:val="left" w:pos="4125"/>
        </w:tabs>
        <w:spacing w:after="0" w:line="240" w:lineRule="auto"/>
        <w:rPr>
          <w:rFonts w:cstheme="minorHAnsi"/>
          <w:sz w:val="24"/>
          <w:szCs w:val="24"/>
        </w:rPr>
      </w:pPr>
    </w:p>
    <w:p>
      <w:pPr>
        <w:pStyle w:val="7"/>
        <w:numPr>
          <w:ilvl w:val="1"/>
          <w:numId w:val="6"/>
        </w:numPr>
        <w:tabs>
          <w:tab w:val="left" w:pos="4125"/>
        </w:tabs>
        <w:spacing w:after="0" w:line="240" w:lineRule="auto"/>
        <w:rPr>
          <w:rFonts w:cstheme="minorHAnsi"/>
          <w:sz w:val="24"/>
          <w:szCs w:val="24"/>
        </w:rPr>
      </w:pPr>
      <w:r>
        <w:rPr>
          <w:rFonts w:cstheme="minorHAnsi"/>
          <w:sz w:val="24"/>
          <w:szCs w:val="24"/>
        </w:rPr>
        <w:t>Meaning and Definition of Discretion, and its Origins and Justification</w:t>
      </w:r>
    </w:p>
    <w:p>
      <w:pPr>
        <w:pStyle w:val="7"/>
        <w:numPr>
          <w:ilvl w:val="1"/>
          <w:numId w:val="6"/>
        </w:numPr>
        <w:tabs>
          <w:tab w:val="left" w:pos="4125"/>
        </w:tabs>
        <w:spacing w:after="0" w:line="240" w:lineRule="auto"/>
        <w:rPr>
          <w:rFonts w:cstheme="minorHAnsi"/>
          <w:sz w:val="24"/>
          <w:szCs w:val="24"/>
        </w:rPr>
      </w:pPr>
      <w:r>
        <w:rPr>
          <w:rFonts w:cstheme="minorHAnsi"/>
          <w:sz w:val="24"/>
          <w:szCs w:val="24"/>
        </w:rPr>
        <w:t>Classification of Discretion, and Problems raised by Administrative Discretion</w:t>
      </w:r>
    </w:p>
    <w:p>
      <w:pPr>
        <w:pStyle w:val="7"/>
        <w:numPr>
          <w:ilvl w:val="1"/>
          <w:numId w:val="6"/>
        </w:numPr>
        <w:tabs>
          <w:tab w:val="left" w:pos="4125"/>
        </w:tabs>
        <w:spacing w:after="0" w:line="240" w:lineRule="auto"/>
        <w:rPr>
          <w:rFonts w:cstheme="minorHAnsi"/>
          <w:sz w:val="24"/>
          <w:szCs w:val="24"/>
        </w:rPr>
      </w:pPr>
      <w:r>
        <w:rPr>
          <w:rFonts w:cstheme="minorHAnsi"/>
          <w:sz w:val="24"/>
          <w:szCs w:val="24"/>
        </w:rPr>
        <w:t>Vesting of Administrative Discretion</w:t>
      </w:r>
    </w:p>
    <w:p>
      <w:pPr>
        <w:pStyle w:val="7"/>
        <w:numPr>
          <w:ilvl w:val="1"/>
          <w:numId w:val="6"/>
        </w:numPr>
        <w:tabs>
          <w:tab w:val="left" w:pos="4125"/>
        </w:tabs>
        <w:spacing w:after="0" w:line="240" w:lineRule="auto"/>
        <w:rPr>
          <w:rFonts w:cstheme="minorHAnsi"/>
          <w:sz w:val="24"/>
          <w:szCs w:val="24"/>
        </w:rPr>
      </w:pPr>
      <w:r>
        <w:rPr>
          <w:rFonts w:cstheme="minorHAnsi"/>
          <w:sz w:val="24"/>
          <w:szCs w:val="24"/>
        </w:rPr>
        <w:t xml:space="preserve">Discretion of Legislative, Judicial and Executive Bodies   </w:t>
      </w:r>
    </w:p>
    <w:p>
      <w:pPr>
        <w:tabs>
          <w:tab w:val="left" w:pos="4125"/>
        </w:tabs>
        <w:spacing w:after="0" w:line="240" w:lineRule="auto"/>
        <w:rPr>
          <w:rFonts w:cstheme="minorHAnsi"/>
          <w:sz w:val="24"/>
          <w:szCs w:val="24"/>
        </w:rPr>
      </w:pPr>
    </w:p>
    <w:p>
      <w:pPr>
        <w:tabs>
          <w:tab w:val="left" w:pos="4125"/>
        </w:tabs>
        <w:spacing w:after="0" w:line="240" w:lineRule="auto"/>
        <w:rPr>
          <w:rFonts w:cstheme="minorHAnsi"/>
          <w:b/>
          <w:sz w:val="24"/>
          <w:szCs w:val="24"/>
        </w:rPr>
      </w:pPr>
      <w:r>
        <w:rPr>
          <w:rFonts w:cstheme="minorHAnsi"/>
          <w:b/>
          <w:sz w:val="24"/>
          <w:szCs w:val="24"/>
        </w:rPr>
        <w:t>UNIT 4: DELEGATED LEGISLATION</w:t>
      </w:r>
    </w:p>
    <w:p>
      <w:pPr>
        <w:tabs>
          <w:tab w:val="left" w:pos="4125"/>
        </w:tabs>
        <w:spacing w:after="0" w:line="240" w:lineRule="auto"/>
        <w:rPr>
          <w:rFonts w:cstheme="minorHAnsi"/>
          <w:sz w:val="24"/>
          <w:szCs w:val="24"/>
        </w:rPr>
      </w:pPr>
    </w:p>
    <w:p>
      <w:pPr>
        <w:pStyle w:val="7"/>
        <w:numPr>
          <w:ilvl w:val="1"/>
          <w:numId w:val="7"/>
        </w:numPr>
        <w:tabs>
          <w:tab w:val="left" w:pos="4125"/>
        </w:tabs>
        <w:spacing w:after="0" w:line="240" w:lineRule="auto"/>
        <w:rPr>
          <w:rFonts w:cstheme="minorHAnsi"/>
          <w:sz w:val="24"/>
          <w:szCs w:val="24"/>
        </w:rPr>
      </w:pPr>
      <w:r>
        <w:rPr>
          <w:rFonts w:cstheme="minorHAnsi"/>
          <w:sz w:val="24"/>
          <w:szCs w:val="24"/>
        </w:rPr>
        <w:t xml:space="preserve">   Meaning and Definition of delegated Legislation, and Historical Development</w:t>
      </w:r>
    </w:p>
    <w:p>
      <w:pPr>
        <w:pStyle w:val="7"/>
        <w:numPr>
          <w:ilvl w:val="1"/>
          <w:numId w:val="7"/>
        </w:numPr>
        <w:tabs>
          <w:tab w:val="left" w:pos="4125"/>
        </w:tabs>
        <w:spacing w:after="0" w:line="240" w:lineRule="auto"/>
        <w:rPr>
          <w:rFonts w:cstheme="minorHAnsi"/>
          <w:sz w:val="24"/>
          <w:szCs w:val="24"/>
        </w:rPr>
      </w:pPr>
      <w:r>
        <w:rPr>
          <w:rFonts w:cstheme="minorHAnsi"/>
          <w:sz w:val="24"/>
          <w:szCs w:val="24"/>
        </w:rPr>
        <w:t xml:space="preserve">   Types of Delegated Legislation: Statutory Instruments, By Laws; Circulars</w:t>
      </w:r>
    </w:p>
    <w:p>
      <w:pPr>
        <w:pStyle w:val="7"/>
        <w:numPr>
          <w:ilvl w:val="1"/>
          <w:numId w:val="7"/>
        </w:numPr>
        <w:tabs>
          <w:tab w:val="left" w:pos="4125"/>
        </w:tabs>
        <w:spacing w:after="0" w:line="240" w:lineRule="auto"/>
        <w:rPr>
          <w:rFonts w:cstheme="minorHAnsi"/>
          <w:sz w:val="24"/>
          <w:szCs w:val="24"/>
        </w:rPr>
      </w:pPr>
      <w:r>
        <w:rPr>
          <w:rFonts w:cstheme="minorHAnsi"/>
          <w:sz w:val="24"/>
          <w:szCs w:val="24"/>
        </w:rPr>
        <w:t xml:space="preserve">   Use of Delegated Legislation</w:t>
      </w:r>
    </w:p>
    <w:p>
      <w:pPr>
        <w:pStyle w:val="7"/>
        <w:numPr>
          <w:ilvl w:val="1"/>
          <w:numId w:val="7"/>
        </w:numPr>
        <w:tabs>
          <w:tab w:val="left" w:pos="4125"/>
        </w:tabs>
        <w:spacing w:after="0" w:line="240" w:lineRule="auto"/>
        <w:rPr>
          <w:rFonts w:cstheme="minorHAnsi"/>
          <w:sz w:val="24"/>
          <w:szCs w:val="24"/>
        </w:rPr>
      </w:pPr>
      <w:r>
        <w:rPr>
          <w:rFonts w:cstheme="minorHAnsi"/>
          <w:sz w:val="24"/>
          <w:szCs w:val="24"/>
        </w:rPr>
        <w:t xml:space="preserve">   Controls of Delegated Legislation: Controls by Parliament; Control through Courts </w:t>
      </w:r>
    </w:p>
    <w:p>
      <w:pPr>
        <w:tabs>
          <w:tab w:val="left" w:pos="4125"/>
        </w:tabs>
        <w:spacing w:after="0" w:line="240" w:lineRule="auto"/>
        <w:rPr>
          <w:rFonts w:cstheme="minorHAnsi"/>
          <w:sz w:val="24"/>
          <w:szCs w:val="24"/>
        </w:rPr>
      </w:pPr>
    </w:p>
    <w:p>
      <w:pPr>
        <w:tabs>
          <w:tab w:val="left" w:pos="4125"/>
        </w:tabs>
        <w:spacing w:after="0" w:line="240" w:lineRule="auto"/>
        <w:rPr>
          <w:rFonts w:cstheme="minorHAnsi"/>
          <w:b/>
          <w:sz w:val="24"/>
          <w:szCs w:val="24"/>
        </w:rPr>
      </w:pPr>
      <w:r>
        <w:rPr>
          <w:rFonts w:cstheme="minorHAnsi"/>
          <w:b/>
          <w:sz w:val="24"/>
          <w:szCs w:val="24"/>
        </w:rPr>
        <w:t>UNIT 5: JUDICIAL REVIEW OF ADMINISTRATIVE ACTION – SUBSTANTIVE ULTRA VIRES AND ABUSE OF POWER</w:t>
      </w:r>
    </w:p>
    <w:p>
      <w:pPr>
        <w:tabs>
          <w:tab w:val="left" w:pos="4125"/>
        </w:tabs>
        <w:spacing w:after="0" w:line="240" w:lineRule="auto"/>
        <w:rPr>
          <w:rFonts w:cstheme="minorHAnsi"/>
          <w:sz w:val="24"/>
          <w:szCs w:val="24"/>
        </w:rPr>
      </w:pPr>
    </w:p>
    <w:p>
      <w:pPr>
        <w:pStyle w:val="7"/>
        <w:numPr>
          <w:ilvl w:val="1"/>
          <w:numId w:val="8"/>
        </w:numPr>
        <w:tabs>
          <w:tab w:val="left" w:pos="4125"/>
        </w:tabs>
        <w:spacing w:after="0" w:line="240" w:lineRule="auto"/>
        <w:rPr>
          <w:rFonts w:cstheme="minorHAnsi"/>
          <w:sz w:val="24"/>
          <w:szCs w:val="24"/>
        </w:rPr>
      </w:pPr>
      <w:r>
        <w:rPr>
          <w:rFonts w:cstheme="minorHAnsi"/>
          <w:sz w:val="24"/>
          <w:szCs w:val="24"/>
        </w:rPr>
        <w:t xml:space="preserve">   Definition of the Doctrine of Ultra Vires</w:t>
      </w:r>
    </w:p>
    <w:p>
      <w:pPr>
        <w:pStyle w:val="7"/>
        <w:numPr>
          <w:ilvl w:val="1"/>
          <w:numId w:val="8"/>
        </w:numPr>
        <w:tabs>
          <w:tab w:val="left" w:pos="4125"/>
        </w:tabs>
        <w:spacing w:after="0" w:line="240" w:lineRule="auto"/>
        <w:rPr>
          <w:rFonts w:cstheme="minorHAnsi"/>
          <w:sz w:val="24"/>
          <w:szCs w:val="24"/>
        </w:rPr>
      </w:pPr>
      <w:r>
        <w:rPr>
          <w:rFonts w:cstheme="minorHAnsi"/>
          <w:sz w:val="24"/>
          <w:szCs w:val="24"/>
        </w:rPr>
        <w:t xml:space="preserve">   Scope of Judicial Review and Grounds of Judicial Review: Substantive Ultra vires;       Procedural Ultra vires; Abuse of Power</w:t>
      </w:r>
    </w:p>
    <w:p>
      <w:pPr>
        <w:pStyle w:val="7"/>
        <w:numPr>
          <w:ilvl w:val="1"/>
          <w:numId w:val="8"/>
        </w:numPr>
        <w:tabs>
          <w:tab w:val="left" w:pos="4125"/>
        </w:tabs>
        <w:spacing w:after="0" w:line="240" w:lineRule="auto"/>
        <w:rPr>
          <w:rFonts w:cstheme="minorHAnsi"/>
          <w:sz w:val="24"/>
          <w:szCs w:val="24"/>
        </w:rPr>
      </w:pPr>
      <w:r>
        <w:rPr>
          <w:rFonts w:cstheme="minorHAnsi"/>
          <w:sz w:val="24"/>
          <w:szCs w:val="24"/>
        </w:rPr>
        <w:t xml:space="preserve">  Principle of Reasonableness and Categories of Reasonableness</w:t>
      </w:r>
    </w:p>
    <w:p>
      <w:pPr>
        <w:pStyle w:val="7"/>
        <w:numPr>
          <w:ilvl w:val="1"/>
          <w:numId w:val="8"/>
        </w:numPr>
        <w:tabs>
          <w:tab w:val="left" w:pos="4125"/>
        </w:tabs>
        <w:spacing w:after="0" w:line="240" w:lineRule="auto"/>
        <w:rPr>
          <w:rFonts w:cstheme="minorHAnsi"/>
          <w:sz w:val="24"/>
          <w:szCs w:val="24"/>
        </w:rPr>
      </w:pPr>
      <w:r>
        <w:rPr>
          <w:rFonts w:cstheme="minorHAnsi"/>
          <w:sz w:val="24"/>
          <w:szCs w:val="24"/>
        </w:rPr>
        <w:t xml:space="preserve">  Improper Purpose/ Relevant or Irrelevant Considerations</w:t>
      </w:r>
    </w:p>
    <w:p>
      <w:pPr>
        <w:pStyle w:val="7"/>
        <w:numPr>
          <w:ilvl w:val="1"/>
          <w:numId w:val="8"/>
        </w:numPr>
        <w:tabs>
          <w:tab w:val="left" w:pos="4125"/>
        </w:tabs>
        <w:spacing w:after="0" w:line="240" w:lineRule="auto"/>
        <w:rPr>
          <w:rFonts w:cstheme="minorHAnsi"/>
          <w:sz w:val="24"/>
          <w:szCs w:val="24"/>
        </w:rPr>
      </w:pPr>
      <w:r>
        <w:rPr>
          <w:rFonts w:cstheme="minorHAnsi"/>
          <w:sz w:val="24"/>
          <w:szCs w:val="24"/>
        </w:rPr>
        <w:t xml:space="preserve">  Mixed Motives; Bad Faith; Proportionality </w:t>
      </w:r>
    </w:p>
    <w:p>
      <w:pPr>
        <w:tabs>
          <w:tab w:val="left" w:pos="4125"/>
        </w:tabs>
        <w:spacing w:after="0" w:line="240" w:lineRule="auto"/>
        <w:rPr>
          <w:rFonts w:cstheme="minorHAnsi"/>
          <w:sz w:val="24"/>
          <w:szCs w:val="24"/>
        </w:rPr>
      </w:pPr>
    </w:p>
    <w:p>
      <w:pPr>
        <w:tabs>
          <w:tab w:val="left" w:pos="4125"/>
        </w:tabs>
        <w:spacing w:after="0" w:line="240" w:lineRule="auto"/>
        <w:rPr>
          <w:rFonts w:cstheme="minorHAnsi"/>
          <w:b/>
          <w:sz w:val="24"/>
          <w:szCs w:val="24"/>
        </w:rPr>
      </w:pPr>
      <w:r>
        <w:rPr>
          <w:rFonts w:cstheme="minorHAnsi"/>
          <w:b/>
          <w:sz w:val="24"/>
          <w:szCs w:val="24"/>
        </w:rPr>
        <w:t>UNIT 6: JUDICIAL REVIEW OF ADMINISTRATIVE ACTION – PROCEDURAL ULTRA VIRES</w:t>
      </w:r>
    </w:p>
    <w:p>
      <w:pPr>
        <w:tabs>
          <w:tab w:val="left" w:pos="4125"/>
        </w:tabs>
        <w:spacing w:after="0" w:line="240" w:lineRule="auto"/>
        <w:rPr>
          <w:rFonts w:cstheme="minorHAnsi"/>
          <w:sz w:val="24"/>
          <w:szCs w:val="24"/>
        </w:rPr>
      </w:pPr>
    </w:p>
    <w:p>
      <w:pPr>
        <w:pStyle w:val="7"/>
        <w:numPr>
          <w:ilvl w:val="1"/>
          <w:numId w:val="9"/>
        </w:numPr>
        <w:tabs>
          <w:tab w:val="left" w:pos="4125"/>
        </w:tabs>
        <w:spacing w:after="0" w:line="240" w:lineRule="auto"/>
        <w:rPr>
          <w:rFonts w:cstheme="minorHAnsi"/>
          <w:sz w:val="24"/>
          <w:szCs w:val="24"/>
        </w:rPr>
      </w:pPr>
      <w:r>
        <w:rPr>
          <w:rFonts w:cstheme="minorHAnsi"/>
          <w:sz w:val="24"/>
          <w:szCs w:val="24"/>
        </w:rPr>
        <w:t>Natural Justice/ Fairness: History and Development; Legitimate Expectation</w:t>
      </w:r>
    </w:p>
    <w:p>
      <w:pPr>
        <w:pStyle w:val="7"/>
        <w:numPr>
          <w:ilvl w:val="1"/>
          <w:numId w:val="9"/>
        </w:numPr>
        <w:tabs>
          <w:tab w:val="left" w:pos="4125"/>
        </w:tabs>
        <w:spacing w:after="0" w:line="240" w:lineRule="auto"/>
        <w:rPr>
          <w:rFonts w:cstheme="minorHAnsi"/>
          <w:sz w:val="24"/>
          <w:szCs w:val="24"/>
        </w:rPr>
      </w:pPr>
      <w:r>
        <w:rPr>
          <w:rFonts w:cstheme="minorHAnsi"/>
          <w:sz w:val="24"/>
          <w:szCs w:val="24"/>
        </w:rPr>
        <w:t>The Rule Against Bias (</w:t>
      </w:r>
      <w:r>
        <w:rPr>
          <w:rFonts w:cstheme="minorHAnsi"/>
          <w:i/>
          <w:sz w:val="24"/>
          <w:szCs w:val="24"/>
        </w:rPr>
        <w:t>nemo iudex in cuasa sua</w:t>
      </w:r>
      <w:r>
        <w:rPr>
          <w:rFonts w:cstheme="minorHAnsi"/>
          <w:sz w:val="24"/>
          <w:szCs w:val="24"/>
        </w:rPr>
        <w:t>): Judicial and Administrative Impartiality</w:t>
      </w:r>
    </w:p>
    <w:p>
      <w:pPr>
        <w:pStyle w:val="7"/>
        <w:numPr>
          <w:ilvl w:val="1"/>
          <w:numId w:val="9"/>
        </w:numPr>
        <w:tabs>
          <w:tab w:val="left" w:pos="4125"/>
        </w:tabs>
        <w:spacing w:after="0" w:line="240" w:lineRule="auto"/>
        <w:rPr>
          <w:rFonts w:cstheme="minorHAnsi"/>
          <w:sz w:val="24"/>
          <w:szCs w:val="24"/>
        </w:rPr>
      </w:pPr>
      <w:r>
        <w:rPr>
          <w:rFonts w:cstheme="minorHAnsi"/>
          <w:sz w:val="24"/>
          <w:szCs w:val="24"/>
        </w:rPr>
        <w:t>Causes of Impartiality</w:t>
      </w:r>
    </w:p>
    <w:p>
      <w:pPr>
        <w:pStyle w:val="7"/>
        <w:numPr>
          <w:ilvl w:val="1"/>
          <w:numId w:val="9"/>
        </w:numPr>
        <w:tabs>
          <w:tab w:val="left" w:pos="4125"/>
        </w:tabs>
        <w:spacing w:after="0" w:line="240" w:lineRule="auto"/>
        <w:rPr>
          <w:rFonts w:cstheme="minorHAnsi"/>
          <w:sz w:val="24"/>
          <w:szCs w:val="24"/>
        </w:rPr>
      </w:pPr>
      <w:r>
        <w:rPr>
          <w:rFonts w:cstheme="minorHAnsi"/>
          <w:sz w:val="24"/>
          <w:szCs w:val="24"/>
        </w:rPr>
        <w:t>The Right to a Fair Hearing (</w:t>
      </w:r>
      <w:r>
        <w:rPr>
          <w:rFonts w:cstheme="minorHAnsi"/>
          <w:i/>
          <w:sz w:val="24"/>
          <w:szCs w:val="24"/>
        </w:rPr>
        <w:t>audi alteram partem</w:t>
      </w:r>
      <w:r>
        <w:rPr>
          <w:rFonts w:cstheme="minorHAnsi"/>
          <w:sz w:val="24"/>
          <w:szCs w:val="24"/>
        </w:rPr>
        <w:t>)</w:t>
      </w:r>
    </w:p>
    <w:p>
      <w:pPr>
        <w:pStyle w:val="7"/>
        <w:numPr>
          <w:ilvl w:val="1"/>
          <w:numId w:val="9"/>
        </w:numPr>
        <w:tabs>
          <w:tab w:val="left" w:pos="4125"/>
        </w:tabs>
        <w:spacing w:after="0" w:line="240" w:lineRule="auto"/>
        <w:rPr>
          <w:rFonts w:cstheme="minorHAnsi"/>
          <w:sz w:val="24"/>
          <w:szCs w:val="24"/>
        </w:rPr>
      </w:pPr>
      <w:r>
        <w:rPr>
          <w:rFonts w:cstheme="minorHAnsi"/>
          <w:sz w:val="24"/>
          <w:szCs w:val="24"/>
        </w:rPr>
        <w:t>Content of Natural Justice</w:t>
      </w:r>
    </w:p>
    <w:p>
      <w:pPr>
        <w:tabs>
          <w:tab w:val="left" w:pos="4125"/>
        </w:tabs>
        <w:spacing w:after="0" w:line="240" w:lineRule="auto"/>
        <w:rPr>
          <w:rFonts w:cstheme="minorHAnsi"/>
          <w:sz w:val="24"/>
          <w:szCs w:val="24"/>
        </w:rPr>
      </w:pPr>
    </w:p>
    <w:p>
      <w:pPr>
        <w:tabs>
          <w:tab w:val="left" w:pos="4125"/>
        </w:tabs>
        <w:spacing w:after="0" w:line="240" w:lineRule="auto"/>
        <w:rPr>
          <w:rFonts w:cstheme="minorHAnsi"/>
          <w:b/>
          <w:sz w:val="24"/>
          <w:szCs w:val="24"/>
        </w:rPr>
      </w:pPr>
      <w:r>
        <w:rPr>
          <w:rFonts w:cstheme="minorHAnsi"/>
          <w:b/>
          <w:sz w:val="24"/>
          <w:szCs w:val="24"/>
        </w:rPr>
        <w:t xml:space="preserve">UNIT 7: REMEDIES IN ADMINISTRATIVE LAW </w:t>
      </w:r>
    </w:p>
    <w:p>
      <w:pPr>
        <w:tabs>
          <w:tab w:val="left" w:pos="4125"/>
        </w:tabs>
        <w:spacing w:after="0" w:line="240" w:lineRule="auto"/>
        <w:rPr>
          <w:rFonts w:cstheme="minorHAnsi"/>
          <w:sz w:val="24"/>
          <w:szCs w:val="24"/>
        </w:rPr>
      </w:pPr>
    </w:p>
    <w:p>
      <w:pPr>
        <w:pStyle w:val="7"/>
        <w:numPr>
          <w:ilvl w:val="1"/>
          <w:numId w:val="10"/>
        </w:numPr>
        <w:tabs>
          <w:tab w:val="left" w:pos="4125"/>
        </w:tabs>
        <w:spacing w:after="0" w:line="240" w:lineRule="auto"/>
        <w:rPr>
          <w:rFonts w:cstheme="minorHAnsi"/>
          <w:sz w:val="24"/>
          <w:szCs w:val="24"/>
        </w:rPr>
      </w:pPr>
      <w:r>
        <w:rPr>
          <w:rFonts w:cstheme="minorHAnsi"/>
          <w:sz w:val="24"/>
          <w:szCs w:val="24"/>
        </w:rPr>
        <w:t>Private (Ordinary) remedies</w:t>
      </w:r>
    </w:p>
    <w:p>
      <w:pPr>
        <w:pStyle w:val="7"/>
        <w:numPr>
          <w:ilvl w:val="1"/>
          <w:numId w:val="10"/>
        </w:numPr>
        <w:tabs>
          <w:tab w:val="left" w:pos="4125"/>
        </w:tabs>
        <w:spacing w:after="0" w:line="240" w:lineRule="auto"/>
        <w:rPr>
          <w:rFonts w:cstheme="minorHAnsi"/>
          <w:sz w:val="24"/>
          <w:szCs w:val="24"/>
        </w:rPr>
      </w:pPr>
      <w:r>
        <w:rPr>
          <w:rFonts w:cstheme="minorHAnsi"/>
          <w:sz w:val="24"/>
          <w:szCs w:val="24"/>
        </w:rPr>
        <w:t xml:space="preserve">Public (Prerogative) remedies </w:t>
      </w:r>
    </w:p>
    <w:p>
      <w:pPr>
        <w:pStyle w:val="7"/>
        <w:numPr>
          <w:ilvl w:val="1"/>
          <w:numId w:val="10"/>
        </w:numPr>
        <w:tabs>
          <w:tab w:val="left" w:pos="4125"/>
        </w:tabs>
        <w:spacing w:after="0" w:line="240" w:lineRule="auto"/>
        <w:rPr>
          <w:rFonts w:cstheme="minorHAnsi"/>
          <w:sz w:val="24"/>
          <w:szCs w:val="24"/>
        </w:rPr>
      </w:pPr>
      <w:r>
        <w:rPr>
          <w:rFonts w:cstheme="minorHAnsi"/>
          <w:sz w:val="24"/>
          <w:szCs w:val="24"/>
        </w:rPr>
        <w:t>The discretionary nature of the remedies</w:t>
      </w:r>
    </w:p>
    <w:p>
      <w:pPr>
        <w:pStyle w:val="7"/>
        <w:numPr>
          <w:ilvl w:val="1"/>
          <w:numId w:val="10"/>
        </w:numPr>
        <w:tabs>
          <w:tab w:val="left" w:pos="4125"/>
        </w:tabs>
        <w:spacing w:after="0" w:line="240" w:lineRule="auto"/>
        <w:rPr>
          <w:rFonts w:cstheme="minorHAnsi"/>
          <w:sz w:val="24"/>
          <w:szCs w:val="24"/>
        </w:rPr>
      </w:pPr>
      <w:r>
        <w:rPr>
          <w:rFonts w:cstheme="minorHAnsi"/>
          <w:sz w:val="24"/>
          <w:szCs w:val="24"/>
        </w:rPr>
        <w:t>Procedure for Judicial Review</w:t>
      </w:r>
    </w:p>
    <w:p>
      <w:pPr>
        <w:pStyle w:val="7"/>
        <w:numPr>
          <w:ilvl w:val="1"/>
          <w:numId w:val="10"/>
        </w:numPr>
        <w:tabs>
          <w:tab w:val="left" w:pos="4125"/>
        </w:tabs>
        <w:spacing w:after="0" w:line="240" w:lineRule="auto"/>
        <w:rPr>
          <w:rFonts w:cstheme="minorHAnsi"/>
          <w:sz w:val="24"/>
          <w:szCs w:val="24"/>
        </w:rPr>
      </w:pPr>
      <w:r>
        <w:rPr>
          <w:rFonts w:cstheme="minorHAnsi"/>
          <w:sz w:val="24"/>
          <w:szCs w:val="24"/>
        </w:rPr>
        <w:t>Locus Standi</w:t>
      </w:r>
    </w:p>
    <w:p>
      <w:pPr>
        <w:tabs>
          <w:tab w:val="left" w:pos="4125"/>
        </w:tabs>
        <w:spacing w:after="0" w:line="240" w:lineRule="auto"/>
        <w:rPr>
          <w:rFonts w:cstheme="minorHAnsi"/>
          <w:sz w:val="24"/>
          <w:szCs w:val="24"/>
        </w:rPr>
      </w:pPr>
    </w:p>
    <w:p>
      <w:pPr>
        <w:tabs>
          <w:tab w:val="left" w:pos="4125"/>
        </w:tabs>
        <w:spacing w:after="0" w:line="240" w:lineRule="auto"/>
        <w:rPr>
          <w:rFonts w:cstheme="minorHAnsi"/>
          <w:sz w:val="24"/>
          <w:szCs w:val="24"/>
        </w:rPr>
      </w:pPr>
    </w:p>
    <w:p>
      <w:pPr>
        <w:tabs>
          <w:tab w:val="left" w:pos="4125"/>
        </w:tabs>
        <w:spacing w:after="0" w:line="240" w:lineRule="auto"/>
        <w:rPr>
          <w:rFonts w:cstheme="minorHAnsi"/>
          <w:b/>
          <w:sz w:val="24"/>
          <w:szCs w:val="24"/>
        </w:rPr>
      </w:pPr>
      <w:r>
        <w:rPr>
          <w:rFonts w:cstheme="minorHAnsi"/>
          <w:b/>
          <w:sz w:val="24"/>
          <w:szCs w:val="24"/>
        </w:rPr>
        <w:t xml:space="preserve">UNIT 8: STATUTORY REMEDIES AND EXCLUSION OF JUDICIAL REVIEW </w:t>
      </w:r>
    </w:p>
    <w:p>
      <w:pPr>
        <w:tabs>
          <w:tab w:val="left" w:pos="4125"/>
        </w:tabs>
        <w:spacing w:after="0" w:line="240" w:lineRule="auto"/>
        <w:rPr>
          <w:rFonts w:cstheme="minorHAnsi"/>
          <w:sz w:val="24"/>
          <w:szCs w:val="24"/>
        </w:rPr>
      </w:pPr>
    </w:p>
    <w:p>
      <w:pPr>
        <w:pStyle w:val="7"/>
        <w:numPr>
          <w:ilvl w:val="1"/>
          <w:numId w:val="11"/>
        </w:numPr>
        <w:tabs>
          <w:tab w:val="left" w:pos="4125"/>
        </w:tabs>
        <w:spacing w:after="0" w:line="240" w:lineRule="auto"/>
        <w:rPr>
          <w:rFonts w:cstheme="minorHAnsi"/>
          <w:sz w:val="24"/>
          <w:szCs w:val="24"/>
        </w:rPr>
      </w:pPr>
      <w:r>
        <w:rPr>
          <w:rFonts w:cstheme="minorHAnsi"/>
          <w:sz w:val="24"/>
          <w:szCs w:val="24"/>
        </w:rPr>
        <w:t>Statutory remedies</w:t>
      </w:r>
    </w:p>
    <w:p>
      <w:pPr>
        <w:pStyle w:val="7"/>
        <w:numPr>
          <w:ilvl w:val="1"/>
          <w:numId w:val="11"/>
        </w:numPr>
        <w:tabs>
          <w:tab w:val="left" w:pos="4125"/>
        </w:tabs>
        <w:spacing w:after="0" w:line="240" w:lineRule="auto"/>
        <w:rPr>
          <w:rFonts w:cstheme="minorHAnsi"/>
          <w:sz w:val="24"/>
          <w:szCs w:val="24"/>
        </w:rPr>
      </w:pPr>
      <w:r>
        <w:rPr>
          <w:rFonts w:cstheme="minorHAnsi"/>
          <w:sz w:val="24"/>
          <w:szCs w:val="24"/>
        </w:rPr>
        <w:t>Exhaustion of Alternative Remedies</w:t>
      </w:r>
    </w:p>
    <w:p>
      <w:pPr>
        <w:pStyle w:val="7"/>
        <w:numPr>
          <w:ilvl w:val="1"/>
          <w:numId w:val="11"/>
        </w:numPr>
        <w:tabs>
          <w:tab w:val="left" w:pos="4125"/>
        </w:tabs>
        <w:spacing w:after="0" w:line="240" w:lineRule="auto"/>
        <w:rPr>
          <w:rFonts w:cstheme="minorHAnsi"/>
          <w:sz w:val="24"/>
          <w:szCs w:val="24"/>
        </w:rPr>
      </w:pPr>
      <w:r>
        <w:rPr>
          <w:rFonts w:cstheme="minorHAnsi"/>
          <w:sz w:val="24"/>
          <w:szCs w:val="24"/>
        </w:rPr>
        <w:t>Exclusion of Judicial Review</w:t>
      </w:r>
    </w:p>
    <w:p>
      <w:pPr>
        <w:tabs>
          <w:tab w:val="left" w:pos="4125"/>
        </w:tabs>
        <w:spacing w:after="0" w:line="240" w:lineRule="auto"/>
        <w:rPr>
          <w:rFonts w:cstheme="minorHAnsi"/>
          <w:sz w:val="24"/>
          <w:szCs w:val="24"/>
        </w:rPr>
      </w:pPr>
    </w:p>
    <w:p>
      <w:pPr>
        <w:tabs>
          <w:tab w:val="left" w:pos="4125"/>
        </w:tabs>
        <w:spacing w:after="0" w:line="240" w:lineRule="auto"/>
        <w:rPr>
          <w:rFonts w:cstheme="minorHAnsi"/>
          <w:b/>
          <w:sz w:val="24"/>
          <w:szCs w:val="24"/>
        </w:rPr>
      </w:pPr>
      <w:r>
        <w:rPr>
          <w:rFonts w:cstheme="minorHAnsi"/>
          <w:b/>
          <w:sz w:val="24"/>
          <w:szCs w:val="24"/>
        </w:rPr>
        <w:t>UNIT 9: EXTRA-JUDICIAL AVENUES OF REDRESS</w:t>
      </w:r>
    </w:p>
    <w:p>
      <w:pPr>
        <w:tabs>
          <w:tab w:val="left" w:pos="4125"/>
        </w:tabs>
        <w:spacing w:after="0" w:line="240" w:lineRule="auto"/>
        <w:rPr>
          <w:rFonts w:cstheme="minorHAnsi"/>
          <w:sz w:val="24"/>
          <w:szCs w:val="24"/>
        </w:rPr>
      </w:pPr>
    </w:p>
    <w:p>
      <w:pPr>
        <w:pStyle w:val="7"/>
        <w:numPr>
          <w:ilvl w:val="1"/>
          <w:numId w:val="12"/>
        </w:numPr>
        <w:tabs>
          <w:tab w:val="left" w:pos="4125"/>
        </w:tabs>
        <w:spacing w:after="0" w:line="240" w:lineRule="auto"/>
        <w:rPr>
          <w:rFonts w:cstheme="minorHAnsi"/>
          <w:sz w:val="24"/>
          <w:szCs w:val="24"/>
        </w:rPr>
      </w:pPr>
      <w:r>
        <w:rPr>
          <w:rFonts w:cstheme="minorHAnsi"/>
          <w:sz w:val="24"/>
          <w:szCs w:val="24"/>
        </w:rPr>
        <w:t>Statutory Tribunals</w:t>
      </w:r>
    </w:p>
    <w:p>
      <w:pPr>
        <w:pStyle w:val="7"/>
        <w:numPr>
          <w:ilvl w:val="1"/>
          <w:numId w:val="12"/>
        </w:numPr>
        <w:tabs>
          <w:tab w:val="left" w:pos="4125"/>
        </w:tabs>
        <w:spacing w:after="0" w:line="240" w:lineRule="auto"/>
        <w:rPr>
          <w:rFonts w:cstheme="minorHAnsi"/>
          <w:sz w:val="24"/>
          <w:szCs w:val="24"/>
        </w:rPr>
      </w:pPr>
      <w:r>
        <w:rPr>
          <w:rFonts w:cstheme="minorHAnsi"/>
          <w:sz w:val="24"/>
          <w:szCs w:val="24"/>
        </w:rPr>
        <w:t>The Commission for Investigations (Ombudsman): Powers and Procedures</w:t>
      </w:r>
    </w:p>
    <w:p>
      <w:pPr>
        <w:pStyle w:val="7"/>
        <w:numPr>
          <w:ilvl w:val="1"/>
          <w:numId w:val="12"/>
        </w:numPr>
        <w:tabs>
          <w:tab w:val="left" w:pos="4125"/>
        </w:tabs>
        <w:spacing w:after="0" w:line="240" w:lineRule="auto"/>
        <w:rPr>
          <w:rFonts w:cstheme="minorHAnsi"/>
          <w:sz w:val="24"/>
          <w:szCs w:val="24"/>
        </w:rPr>
      </w:pPr>
      <w:r>
        <w:rPr>
          <w:rFonts w:cstheme="minorHAnsi"/>
          <w:sz w:val="24"/>
          <w:szCs w:val="24"/>
        </w:rPr>
        <w:t>Statutory Inquiries</w:t>
      </w:r>
    </w:p>
    <w:p>
      <w:pPr>
        <w:pStyle w:val="7"/>
        <w:numPr>
          <w:ilvl w:val="1"/>
          <w:numId w:val="12"/>
        </w:numPr>
        <w:tabs>
          <w:tab w:val="left" w:pos="4125"/>
        </w:tabs>
        <w:spacing w:after="0" w:line="240" w:lineRule="auto"/>
        <w:rPr>
          <w:rFonts w:cstheme="minorHAnsi"/>
          <w:sz w:val="24"/>
          <w:szCs w:val="24"/>
        </w:rPr>
      </w:pPr>
      <w:r>
        <w:rPr>
          <w:rFonts w:cstheme="minorHAnsi"/>
          <w:sz w:val="24"/>
          <w:szCs w:val="24"/>
        </w:rPr>
        <w:t xml:space="preserve">Special Tribunals – Town and Country Planning Tribunal </w:t>
      </w:r>
    </w:p>
    <w:p>
      <w:pPr>
        <w:tabs>
          <w:tab w:val="left" w:pos="4125"/>
        </w:tabs>
        <w:spacing w:after="0" w:line="240" w:lineRule="auto"/>
        <w:rPr>
          <w:rFonts w:cstheme="minorHAnsi"/>
          <w:sz w:val="24"/>
          <w:szCs w:val="24"/>
        </w:rPr>
      </w:pPr>
    </w:p>
    <w:p>
      <w:pPr>
        <w:tabs>
          <w:tab w:val="left" w:pos="4125"/>
        </w:tabs>
        <w:spacing w:after="0" w:line="240" w:lineRule="auto"/>
        <w:rPr>
          <w:rFonts w:cstheme="minorHAnsi"/>
          <w:b/>
          <w:sz w:val="24"/>
          <w:szCs w:val="24"/>
        </w:rPr>
      </w:pPr>
      <w:r>
        <w:rPr>
          <w:rFonts w:cstheme="minorHAnsi"/>
          <w:b/>
          <w:sz w:val="24"/>
          <w:szCs w:val="24"/>
        </w:rPr>
        <w:t xml:space="preserve">UNIT 10: PUBLIC INTEREST IMMUNITY AND STATE LIABILITY </w:t>
      </w:r>
    </w:p>
    <w:p>
      <w:pPr>
        <w:tabs>
          <w:tab w:val="left" w:pos="4125"/>
        </w:tabs>
        <w:spacing w:after="0" w:line="240" w:lineRule="auto"/>
        <w:rPr>
          <w:rFonts w:cstheme="minorHAnsi"/>
          <w:sz w:val="24"/>
          <w:szCs w:val="24"/>
        </w:rPr>
      </w:pPr>
    </w:p>
    <w:p>
      <w:pPr>
        <w:pStyle w:val="7"/>
        <w:numPr>
          <w:ilvl w:val="1"/>
          <w:numId w:val="13"/>
        </w:numPr>
        <w:spacing w:after="0" w:line="240" w:lineRule="auto"/>
        <w:rPr>
          <w:rFonts w:cstheme="minorHAnsi"/>
          <w:sz w:val="24"/>
          <w:szCs w:val="24"/>
        </w:rPr>
      </w:pPr>
      <w:r>
        <w:rPr>
          <w:rFonts w:cstheme="minorHAnsi"/>
          <w:sz w:val="24"/>
          <w:szCs w:val="24"/>
        </w:rPr>
        <w:t>Public interest immunity</w:t>
      </w:r>
    </w:p>
    <w:p>
      <w:pPr>
        <w:pStyle w:val="7"/>
        <w:numPr>
          <w:ilvl w:val="1"/>
          <w:numId w:val="13"/>
        </w:numPr>
        <w:spacing w:after="0" w:line="240" w:lineRule="auto"/>
        <w:rPr>
          <w:rFonts w:cstheme="minorHAnsi"/>
          <w:sz w:val="24"/>
          <w:szCs w:val="24"/>
        </w:rPr>
      </w:pPr>
      <w:r>
        <w:rPr>
          <w:rFonts w:cstheme="minorHAnsi"/>
          <w:sz w:val="24"/>
          <w:szCs w:val="24"/>
        </w:rPr>
        <w:t>Procedure and Remedies</w:t>
      </w:r>
    </w:p>
    <w:p>
      <w:pPr>
        <w:tabs>
          <w:tab w:val="left" w:pos="4125"/>
        </w:tabs>
        <w:spacing w:after="0" w:line="240" w:lineRule="auto"/>
        <w:rPr>
          <w:rFonts w:cstheme="minorHAnsi"/>
          <w:sz w:val="24"/>
          <w:szCs w:val="24"/>
        </w:rPr>
      </w:pPr>
    </w:p>
    <w:p>
      <w:pPr>
        <w:tabs>
          <w:tab w:val="left" w:pos="4125"/>
        </w:tabs>
        <w:spacing w:after="0" w:line="240" w:lineRule="auto"/>
        <w:rPr>
          <w:rFonts w:cstheme="minorHAnsi"/>
          <w:b/>
          <w:sz w:val="24"/>
          <w:szCs w:val="24"/>
        </w:rPr>
      </w:pPr>
      <w:r>
        <w:rPr>
          <w:rFonts w:cstheme="minorHAnsi"/>
          <w:b/>
          <w:sz w:val="24"/>
          <w:szCs w:val="24"/>
        </w:rPr>
        <w:t>UNIT 11: LIABILITY OF PUBLIC BODIES IN CONTRACT AND TORT</w:t>
      </w:r>
    </w:p>
    <w:p>
      <w:pPr>
        <w:tabs>
          <w:tab w:val="left" w:pos="4125"/>
        </w:tabs>
        <w:spacing w:after="0" w:line="240" w:lineRule="auto"/>
        <w:rPr>
          <w:rFonts w:cstheme="minorHAnsi"/>
          <w:sz w:val="24"/>
          <w:szCs w:val="24"/>
        </w:rPr>
      </w:pPr>
    </w:p>
    <w:p>
      <w:pPr>
        <w:pStyle w:val="7"/>
        <w:numPr>
          <w:ilvl w:val="1"/>
          <w:numId w:val="14"/>
        </w:numPr>
        <w:spacing w:after="0" w:line="240" w:lineRule="auto"/>
        <w:rPr>
          <w:rFonts w:cstheme="minorHAnsi"/>
          <w:sz w:val="24"/>
          <w:szCs w:val="24"/>
        </w:rPr>
      </w:pPr>
      <w:r>
        <w:rPr>
          <w:rFonts w:cstheme="minorHAnsi"/>
          <w:sz w:val="24"/>
          <w:szCs w:val="24"/>
        </w:rPr>
        <w:t>Liability in Tort</w:t>
      </w:r>
    </w:p>
    <w:p>
      <w:pPr>
        <w:pStyle w:val="7"/>
        <w:numPr>
          <w:ilvl w:val="1"/>
          <w:numId w:val="14"/>
        </w:numPr>
        <w:spacing w:after="0" w:line="240" w:lineRule="auto"/>
        <w:rPr>
          <w:rFonts w:cstheme="minorHAnsi"/>
          <w:sz w:val="24"/>
          <w:szCs w:val="24"/>
        </w:rPr>
      </w:pPr>
      <w:r>
        <w:rPr>
          <w:rFonts w:cstheme="minorHAnsi"/>
          <w:sz w:val="24"/>
          <w:szCs w:val="24"/>
        </w:rPr>
        <w:t>Liability in Contract</w:t>
      </w:r>
    </w:p>
    <w:p>
      <w:pPr>
        <w:spacing w:after="0" w:line="240" w:lineRule="auto"/>
        <w:rPr>
          <w:rFonts w:cstheme="minorHAnsi"/>
          <w:sz w:val="24"/>
          <w:szCs w:val="24"/>
        </w:rPr>
      </w:pPr>
    </w:p>
    <w:p>
      <w:pPr>
        <w:spacing w:after="0" w:line="240" w:lineRule="auto"/>
        <w:rPr>
          <w:rFonts w:cstheme="minorHAnsi"/>
          <w:sz w:val="24"/>
          <w:szCs w:val="24"/>
        </w:rPr>
      </w:pPr>
    </w:p>
    <w:p>
      <w:pPr>
        <w:tabs>
          <w:tab w:val="left" w:pos="4125"/>
        </w:tabs>
        <w:spacing w:after="0" w:line="240" w:lineRule="auto"/>
        <w:rPr>
          <w:rFonts w:cstheme="minorHAnsi"/>
          <w:sz w:val="24"/>
          <w:szCs w:val="24"/>
        </w:rPr>
      </w:pPr>
      <w:r>
        <w:rPr>
          <w:rFonts w:ascii="Calibri" w:hAnsi="Calibri" w:eastAsia="Calibri" w:cs="Arial"/>
          <w:sz w:val="24"/>
          <w:szCs w:val="20"/>
        </w:rPr>
        <w:drawing>
          <wp:anchor distT="0" distB="0" distL="114300" distR="114300" simplePos="0" relativeHeight="251674624" behindDoc="1" locked="0" layoutInCell="1" allowOverlap="1">
            <wp:simplePos x="0" y="0"/>
            <wp:positionH relativeFrom="margin">
              <wp:posOffset>0</wp:posOffset>
            </wp:positionH>
            <wp:positionV relativeFrom="paragraph">
              <wp:posOffset>183515</wp:posOffset>
            </wp:positionV>
            <wp:extent cx="2314575" cy="2667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14575" cy="266700"/>
                    </a:xfrm>
                    <a:prstGeom prst="rect">
                      <a:avLst/>
                    </a:prstGeom>
                    <a:noFill/>
                  </pic:spPr>
                </pic:pic>
              </a:graphicData>
            </a:graphic>
          </wp:anchor>
        </w:drawing>
      </w:r>
    </w:p>
    <w:p>
      <w:pPr>
        <w:spacing w:after="0" w:line="0" w:lineRule="atLeast"/>
        <w:ind w:right="46"/>
        <w:rPr>
          <w:rFonts w:ascii="Calibri" w:hAnsi="Calibri" w:eastAsia="Calibri" w:cs="Arial"/>
          <w:b/>
          <w:sz w:val="28"/>
          <w:szCs w:val="20"/>
        </w:rPr>
      </w:pPr>
      <w:r>
        <w:rPr>
          <w:rFonts w:ascii="Calibri" w:hAnsi="Calibri" w:eastAsia="Calibri" w:cs="Arial"/>
          <w:b/>
          <w:sz w:val="28"/>
          <w:szCs w:val="20"/>
        </w:rPr>
        <w:t xml:space="preserve"> 5. Teaching Method</w:t>
      </w:r>
    </w:p>
    <w:p>
      <w:pPr>
        <w:spacing w:after="0" w:line="206" w:lineRule="exact"/>
        <w:rPr>
          <w:rFonts w:ascii="Times New Roman" w:hAnsi="Times New Roman" w:eastAsia="Times New Roman" w:cs="Arial"/>
          <w:sz w:val="20"/>
          <w:szCs w:val="20"/>
        </w:rPr>
      </w:pPr>
    </w:p>
    <w:p>
      <w:pPr>
        <w:spacing w:after="0" w:line="196" w:lineRule="auto"/>
        <w:ind w:left="40" w:right="6"/>
        <w:jc w:val="both"/>
        <w:rPr>
          <w:rFonts w:ascii="Calibri" w:hAnsi="Calibri" w:eastAsia="Calibri" w:cs="Arial"/>
          <w:sz w:val="24"/>
          <w:szCs w:val="20"/>
        </w:rPr>
      </w:pPr>
      <w:r>
        <w:rPr>
          <w:rFonts w:ascii="Calibri" w:hAnsi="Calibri" w:eastAsia="Calibri" w:cs="Arial"/>
          <w:sz w:val="24"/>
          <w:szCs w:val="20"/>
        </w:rPr>
        <w:t>From the very beginning it must be mentioned that the course will be critical and forward-looking. However, it will naturally involve a detailed discussion of the current law through contact hours. There will be four contact hours in a week. The lecturing method used will include formal lecturing, as well as class discussions based on problems and scenarios that students must prepare. The problem questions will be handed out to students and indicated on the lecture timetable. Students therefore remain required to prepare themselves in advance for participation in the discussion by doing appropriate research and reading. Student's preparation should be such that (s)he is equipped, if so asked, to lead the discussion of the topic. This approach will ensure that students learn to think critically and not merely absorb information.</w:t>
      </w:r>
    </w:p>
    <w:p>
      <w:pPr>
        <w:spacing w:after="0" w:line="2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r>
        <w:rPr>
          <w:rFonts w:ascii="Calibri" w:hAnsi="Calibri" w:eastAsia="Calibri" w:cs="Arial"/>
          <w:sz w:val="24"/>
          <w:szCs w:val="20"/>
        </w:rPr>
        <w:drawing>
          <wp:anchor distT="0" distB="0" distL="114300" distR="114300" simplePos="0" relativeHeight="251672576" behindDoc="1" locked="0" layoutInCell="1" allowOverlap="1">
            <wp:simplePos x="0" y="0"/>
            <wp:positionH relativeFrom="column">
              <wp:posOffset>1977390</wp:posOffset>
            </wp:positionH>
            <wp:positionV relativeFrom="paragraph">
              <wp:posOffset>-564515</wp:posOffset>
            </wp:positionV>
            <wp:extent cx="1812925" cy="19088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12925" cy="1908810"/>
                    </a:xfrm>
                    <a:prstGeom prst="rect">
                      <a:avLst/>
                    </a:prstGeom>
                    <a:noFill/>
                  </pic:spPr>
                </pic:pic>
              </a:graphicData>
            </a:graphic>
          </wp:anchor>
        </w:drawing>
      </w: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tabs>
          <w:tab w:val="left" w:pos="4125"/>
        </w:tabs>
        <w:spacing w:after="0" w:line="240" w:lineRule="auto"/>
        <w:rPr>
          <w:rFonts w:cstheme="minorHAnsi"/>
          <w:sz w:val="24"/>
          <w:szCs w:val="24"/>
        </w:rPr>
      </w:pPr>
    </w:p>
    <w:p>
      <w:pPr>
        <w:tabs>
          <w:tab w:val="left" w:pos="4125"/>
        </w:tabs>
        <w:spacing w:after="0" w:line="240" w:lineRule="auto"/>
        <w:rPr>
          <w:rFonts w:cstheme="minorHAnsi"/>
          <w:sz w:val="24"/>
          <w:szCs w:val="24"/>
        </w:rPr>
      </w:pPr>
    </w:p>
    <w:p>
      <w:pPr>
        <w:tabs>
          <w:tab w:val="left" w:pos="4125"/>
        </w:tabs>
        <w:spacing w:after="0" w:line="240" w:lineRule="auto"/>
        <w:rPr>
          <w:rFonts w:cstheme="minorHAnsi"/>
          <w:sz w:val="24"/>
          <w:szCs w:val="24"/>
        </w:rPr>
      </w:pPr>
    </w:p>
    <w:p>
      <w:pPr>
        <w:tabs>
          <w:tab w:val="left" w:pos="870"/>
        </w:tabs>
        <w:spacing w:after="0" w:line="240" w:lineRule="auto"/>
        <w:rPr>
          <w:rFonts w:cstheme="minorHAnsi"/>
          <w:b/>
          <w:sz w:val="28"/>
          <w:szCs w:val="28"/>
        </w:rPr>
      </w:pPr>
      <w:r>
        <w:rPr>
          <w:rFonts w:ascii="Calibri" w:hAnsi="Calibri" w:eastAsia="Calibri" w:cs="Arial"/>
          <w:sz w:val="28"/>
          <w:szCs w:val="28"/>
        </w:rPr>
        <w:drawing>
          <wp:anchor distT="0" distB="0" distL="114300" distR="114300" simplePos="0" relativeHeight="251676672" behindDoc="1" locked="0" layoutInCell="1" allowOverlap="1">
            <wp:simplePos x="0" y="0"/>
            <wp:positionH relativeFrom="margin">
              <wp:posOffset>0</wp:posOffset>
            </wp:positionH>
            <wp:positionV relativeFrom="paragraph">
              <wp:posOffset>0</wp:posOffset>
            </wp:positionV>
            <wp:extent cx="1714500" cy="2381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15727" cy="238295"/>
                    </a:xfrm>
                    <a:prstGeom prst="rect">
                      <a:avLst/>
                    </a:prstGeom>
                    <a:noFill/>
                  </pic:spPr>
                </pic:pic>
              </a:graphicData>
            </a:graphic>
          </wp:anchor>
        </w:drawing>
      </w:r>
      <w:r>
        <w:rPr>
          <w:rFonts w:cstheme="minorHAnsi"/>
          <w:b/>
          <w:sz w:val="28"/>
          <w:szCs w:val="28"/>
        </w:rPr>
        <w:t xml:space="preserve"> 6. Course Assessment</w:t>
      </w:r>
    </w:p>
    <w:p>
      <w:pPr>
        <w:tabs>
          <w:tab w:val="left" w:pos="870"/>
        </w:tabs>
        <w:spacing w:after="0" w:line="240" w:lineRule="auto"/>
        <w:rPr>
          <w:rFonts w:cstheme="minorHAnsi"/>
          <w:b/>
          <w:sz w:val="28"/>
          <w:szCs w:val="28"/>
        </w:rPr>
      </w:pPr>
    </w:p>
    <w:p>
      <w:pPr>
        <w:tabs>
          <w:tab w:val="left" w:pos="870"/>
        </w:tabs>
        <w:spacing w:after="0" w:line="240" w:lineRule="auto"/>
        <w:rPr>
          <w:rFonts w:cstheme="minorHAnsi"/>
          <w:b/>
          <w:sz w:val="24"/>
          <w:szCs w:val="24"/>
        </w:rPr>
      </w:pPr>
      <w:r>
        <w:rPr>
          <w:rFonts w:cstheme="minorHAnsi"/>
          <w:b/>
          <w:sz w:val="24"/>
          <w:szCs w:val="24"/>
        </w:rPr>
        <w:t>Full time and Part-time Students:</w:t>
      </w:r>
    </w:p>
    <w:p>
      <w:pPr>
        <w:tabs>
          <w:tab w:val="left" w:pos="870"/>
        </w:tabs>
        <w:spacing w:after="0" w:line="240" w:lineRule="auto"/>
        <w:rPr>
          <w:rFonts w:cstheme="minorHAnsi"/>
          <w:sz w:val="24"/>
          <w:szCs w:val="24"/>
        </w:rPr>
      </w:pPr>
      <w:r>
        <w:rPr>
          <w:rFonts w:cstheme="minorHAnsi"/>
          <w:sz w:val="24"/>
          <w:szCs w:val="24"/>
        </w:rPr>
        <w:t>Continuous Assessment 30% (One Assignment of 10%; Mid-semester exam of 20%); and 70% Final Exam.</w:t>
      </w:r>
    </w:p>
    <w:p>
      <w:pPr>
        <w:tabs>
          <w:tab w:val="left" w:pos="870"/>
        </w:tabs>
        <w:spacing w:after="0" w:line="240" w:lineRule="auto"/>
        <w:rPr>
          <w:rFonts w:cstheme="minorHAnsi"/>
          <w:sz w:val="24"/>
          <w:szCs w:val="24"/>
        </w:rPr>
      </w:pPr>
    </w:p>
    <w:p>
      <w:pPr>
        <w:tabs>
          <w:tab w:val="left" w:pos="870"/>
        </w:tabs>
        <w:spacing w:after="0" w:line="240" w:lineRule="auto"/>
        <w:rPr>
          <w:rFonts w:cstheme="minorHAnsi"/>
          <w:b/>
          <w:sz w:val="24"/>
          <w:szCs w:val="24"/>
        </w:rPr>
      </w:pPr>
      <w:r>
        <w:rPr>
          <w:rFonts w:cstheme="minorHAnsi"/>
          <w:b/>
          <w:sz w:val="24"/>
          <w:szCs w:val="24"/>
        </w:rPr>
        <w:t>Distance Students:</w:t>
      </w:r>
    </w:p>
    <w:p>
      <w:pPr>
        <w:tabs>
          <w:tab w:val="left" w:pos="870"/>
        </w:tabs>
        <w:spacing w:after="0" w:line="240" w:lineRule="auto"/>
        <w:rPr>
          <w:rFonts w:cstheme="minorHAnsi"/>
          <w:sz w:val="24"/>
          <w:szCs w:val="24"/>
        </w:rPr>
      </w:pPr>
      <w:r>
        <w:rPr>
          <w:rFonts w:cstheme="minorHAnsi"/>
          <w:sz w:val="24"/>
          <w:szCs w:val="24"/>
        </w:rPr>
        <w:t>Three Assignments of 10% each and one test of 10%.</w:t>
      </w:r>
    </w:p>
    <w:p>
      <w:pPr>
        <w:tabs>
          <w:tab w:val="left" w:pos="870"/>
        </w:tabs>
        <w:spacing w:after="0" w:line="240" w:lineRule="auto"/>
        <w:rPr>
          <w:rFonts w:cstheme="minorHAnsi"/>
          <w:sz w:val="24"/>
          <w:szCs w:val="24"/>
        </w:rPr>
      </w:pPr>
    </w:p>
    <w:p>
      <w:pPr>
        <w:spacing w:after="0" w:line="0" w:lineRule="atLeast"/>
        <w:jc w:val="both"/>
        <w:rPr>
          <w:rFonts w:ascii="Calibri" w:hAnsi="Calibri" w:eastAsia="Calibri" w:cs="Arial"/>
          <w:b/>
          <w:sz w:val="28"/>
          <w:szCs w:val="20"/>
        </w:rPr>
      </w:pPr>
      <w:r>
        <w:rPr>
          <w:rFonts w:ascii="Calibri" w:hAnsi="Calibri" w:eastAsia="Calibri" w:cs="Arial"/>
          <w:sz w:val="28"/>
          <w:szCs w:val="28"/>
        </w:rPr>
        <w:drawing>
          <wp:anchor distT="0" distB="0" distL="114300" distR="114300" simplePos="0" relativeHeight="251678720" behindDoc="1" locked="0" layoutInCell="1" allowOverlap="1">
            <wp:simplePos x="0" y="0"/>
            <wp:positionH relativeFrom="margin">
              <wp:posOffset>0</wp:posOffset>
            </wp:positionH>
            <wp:positionV relativeFrom="paragraph">
              <wp:posOffset>0</wp:posOffset>
            </wp:positionV>
            <wp:extent cx="1714500" cy="2381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15727" cy="238295"/>
                    </a:xfrm>
                    <a:prstGeom prst="rect">
                      <a:avLst/>
                    </a:prstGeom>
                    <a:noFill/>
                  </pic:spPr>
                </pic:pic>
              </a:graphicData>
            </a:graphic>
          </wp:anchor>
        </w:drawing>
      </w:r>
      <w:r>
        <w:rPr>
          <w:rFonts w:ascii="Calibri" w:hAnsi="Calibri" w:eastAsia="Calibri" w:cs="Arial"/>
          <w:b/>
          <w:sz w:val="28"/>
          <w:szCs w:val="20"/>
        </w:rPr>
        <w:t xml:space="preserve"> 7. Resources</w:t>
      </w:r>
    </w:p>
    <w:p>
      <w:pPr>
        <w:spacing w:after="0" w:line="190" w:lineRule="exact"/>
        <w:rPr>
          <w:rFonts w:ascii="Times New Roman" w:hAnsi="Times New Roman" w:eastAsia="Times New Roman" w:cs="Arial"/>
          <w:sz w:val="20"/>
          <w:szCs w:val="20"/>
        </w:rPr>
      </w:pPr>
    </w:p>
    <w:p>
      <w:pPr>
        <w:tabs>
          <w:tab w:val="left" w:pos="870"/>
        </w:tabs>
        <w:spacing w:after="0" w:line="240" w:lineRule="auto"/>
        <w:rPr>
          <w:rFonts w:ascii="Calibri" w:hAnsi="Calibri" w:eastAsia="Calibri" w:cs="Arial"/>
          <w:sz w:val="24"/>
          <w:szCs w:val="20"/>
        </w:rPr>
      </w:pPr>
      <w:r>
        <w:rPr>
          <w:rFonts w:ascii="Calibri" w:hAnsi="Calibri" w:eastAsia="Calibri" w:cs="Arial"/>
          <w:sz w:val="24"/>
          <w:szCs w:val="20"/>
        </w:rPr>
        <w:t>In order to assist your preparation for lectures, a list of core readings is provided:</w:t>
      </w:r>
    </w:p>
    <w:p>
      <w:pPr>
        <w:tabs>
          <w:tab w:val="left" w:pos="870"/>
        </w:tabs>
        <w:spacing w:after="0" w:line="240" w:lineRule="auto"/>
        <w:rPr>
          <w:rFonts w:ascii="Calibri" w:hAnsi="Calibri" w:eastAsia="Calibri" w:cs="Arial"/>
          <w:sz w:val="24"/>
          <w:szCs w:val="20"/>
        </w:rPr>
      </w:pPr>
    </w:p>
    <w:p>
      <w:pPr>
        <w:tabs>
          <w:tab w:val="left" w:pos="870"/>
        </w:tabs>
        <w:spacing w:after="0" w:line="240" w:lineRule="auto"/>
        <w:rPr>
          <w:rFonts w:cstheme="minorHAnsi"/>
          <w:b/>
          <w:color w:val="FF0000"/>
          <w:sz w:val="24"/>
          <w:szCs w:val="24"/>
        </w:rPr>
      </w:pPr>
      <w:r>
        <w:rPr>
          <w:rFonts w:cstheme="minorHAnsi"/>
          <w:b/>
          <w:color w:val="FF0000"/>
          <w:sz w:val="24"/>
          <w:szCs w:val="24"/>
        </w:rPr>
        <w:t>Prescribed Reading:</w:t>
      </w:r>
    </w:p>
    <w:p>
      <w:pPr>
        <w:tabs>
          <w:tab w:val="left" w:pos="870"/>
        </w:tabs>
        <w:spacing w:after="0" w:line="240" w:lineRule="auto"/>
        <w:rPr>
          <w:rFonts w:cstheme="minorHAnsi"/>
          <w:b/>
          <w:color w:val="FF0000"/>
          <w:sz w:val="24"/>
          <w:szCs w:val="24"/>
        </w:rPr>
      </w:pPr>
    </w:p>
    <w:p>
      <w:pPr>
        <w:tabs>
          <w:tab w:val="left" w:pos="870"/>
        </w:tabs>
        <w:spacing w:after="0" w:line="240" w:lineRule="auto"/>
        <w:rPr>
          <w:rFonts w:cstheme="minorHAnsi"/>
          <w:sz w:val="24"/>
          <w:szCs w:val="24"/>
        </w:rPr>
      </w:pPr>
      <w:r>
        <w:rPr>
          <w:rFonts w:cstheme="minorHAnsi"/>
          <w:sz w:val="24"/>
          <w:szCs w:val="24"/>
        </w:rPr>
        <w:t xml:space="preserve">Stott D &amp; Felix A (1997), </w:t>
      </w:r>
      <w:r>
        <w:rPr>
          <w:rFonts w:cstheme="minorHAnsi"/>
          <w:b/>
          <w:sz w:val="24"/>
          <w:szCs w:val="24"/>
          <w:u w:val="single"/>
        </w:rPr>
        <w:t>Principles of Administrative Law</w:t>
      </w:r>
      <w:r>
        <w:rPr>
          <w:rFonts w:cstheme="minorHAnsi"/>
          <w:sz w:val="24"/>
          <w:szCs w:val="24"/>
        </w:rPr>
        <w:t>, London, Cavendish Publishing Limited.</w:t>
      </w:r>
    </w:p>
    <w:p>
      <w:pPr>
        <w:tabs>
          <w:tab w:val="left" w:pos="870"/>
        </w:tabs>
        <w:spacing w:after="0" w:line="240" w:lineRule="auto"/>
        <w:rPr>
          <w:rFonts w:cstheme="minorHAnsi"/>
          <w:sz w:val="24"/>
          <w:szCs w:val="24"/>
        </w:rPr>
      </w:pPr>
    </w:p>
    <w:p>
      <w:pPr>
        <w:tabs>
          <w:tab w:val="left" w:pos="870"/>
        </w:tabs>
        <w:spacing w:after="0" w:line="240" w:lineRule="auto"/>
        <w:rPr>
          <w:rFonts w:cstheme="minorHAnsi"/>
          <w:sz w:val="24"/>
          <w:szCs w:val="24"/>
        </w:rPr>
      </w:pPr>
      <w:r>
        <w:rPr>
          <w:rFonts w:cstheme="minorHAnsi"/>
          <w:sz w:val="24"/>
          <w:szCs w:val="24"/>
        </w:rPr>
        <w:t xml:space="preserve">B. L. Jones (1987), </w:t>
      </w:r>
      <w:r>
        <w:rPr>
          <w:rFonts w:cstheme="minorHAnsi"/>
          <w:b/>
          <w:sz w:val="24"/>
          <w:szCs w:val="24"/>
          <w:u w:val="single"/>
        </w:rPr>
        <w:t>Garner’s Administrative Law</w:t>
      </w:r>
      <w:r>
        <w:rPr>
          <w:rFonts w:cstheme="minorHAnsi"/>
          <w:sz w:val="24"/>
          <w:szCs w:val="24"/>
        </w:rPr>
        <w:t>, 7</w:t>
      </w:r>
      <w:r>
        <w:rPr>
          <w:rFonts w:cstheme="minorHAnsi"/>
          <w:sz w:val="24"/>
          <w:szCs w:val="24"/>
          <w:vertAlign w:val="superscript"/>
        </w:rPr>
        <w:t>th</w:t>
      </w:r>
      <w:r>
        <w:rPr>
          <w:rFonts w:cstheme="minorHAnsi"/>
          <w:sz w:val="24"/>
          <w:szCs w:val="24"/>
        </w:rPr>
        <w:t xml:space="preserve"> edition, London: Butterworths.</w:t>
      </w:r>
    </w:p>
    <w:p>
      <w:pPr>
        <w:tabs>
          <w:tab w:val="left" w:pos="870"/>
        </w:tabs>
        <w:spacing w:after="0" w:line="240" w:lineRule="auto"/>
        <w:rPr>
          <w:rFonts w:cstheme="minorHAnsi"/>
          <w:sz w:val="24"/>
          <w:szCs w:val="24"/>
        </w:rPr>
      </w:pPr>
    </w:p>
    <w:p>
      <w:pPr>
        <w:tabs>
          <w:tab w:val="left" w:pos="870"/>
        </w:tabs>
        <w:spacing w:after="0" w:line="240" w:lineRule="auto"/>
        <w:rPr>
          <w:rFonts w:cstheme="minorHAnsi"/>
          <w:sz w:val="24"/>
          <w:szCs w:val="24"/>
        </w:rPr>
      </w:pPr>
      <w:r>
        <w:rPr>
          <w:rFonts w:cstheme="minorHAnsi"/>
          <w:sz w:val="24"/>
          <w:szCs w:val="24"/>
        </w:rPr>
        <w:t>M.W.R. Wade (1988</w:t>
      </w:r>
      <w:r>
        <w:rPr>
          <w:rFonts w:cstheme="minorHAnsi"/>
          <w:b/>
          <w:sz w:val="24"/>
          <w:szCs w:val="24"/>
          <w:u w:val="single"/>
        </w:rPr>
        <w:t>), Administrative Law</w:t>
      </w:r>
      <w:r>
        <w:rPr>
          <w:rFonts w:cstheme="minorHAnsi"/>
          <w:sz w:val="24"/>
          <w:szCs w:val="24"/>
        </w:rPr>
        <w:t>, 6</w:t>
      </w:r>
      <w:r>
        <w:rPr>
          <w:rFonts w:cstheme="minorHAnsi"/>
          <w:sz w:val="24"/>
          <w:szCs w:val="24"/>
          <w:vertAlign w:val="superscript"/>
        </w:rPr>
        <w:t>th</w:t>
      </w:r>
      <w:r>
        <w:rPr>
          <w:rFonts w:cstheme="minorHAnsi"/>
          <w:sz w:val="24"/>
          <w:szCs w:val="24"/>
        </w:rPr>
        <w:t xml:space="preserve"> edition, Oxford: University Printing House.</w:t>
      </w:r>
    </w:p>
    <w:p>
      <w:pPr>
        <w:tabs>
          <w:tab w:val="left" w:pos="870"/>
        </w:tabs>
        <w:spacing w:after="0" w:line="240" w:lineRule="auto"/>
        <w:rPr>
          <w:rFonts w:cstheme="minorHAnsi"/>
          <w:sz w:val="24"/>
          <w:szCs w:val="24"/>
        </w:rPr>
      </w:pPr>
    </w:p>
    <w:p>
      <w:pPr>
        <w:tabs>
          <w:tab w:val="left" w:pos="870"/>
        </w:tabs>
        <w:spacing w:after="0" w:line="240" w:lineRule="auto"/>
        <w:rPr>
          <w:rFonts w:cstheme="minorHAnsi"/>
          <w:sz w:val="24"/>
          <w:szCs w:val="24"/>
        </w:rPr>
      </w:pPr>
      <w:r>
        <w:rPr>
          <w:rFonts w:cstheme="minorHAnsi"/>
          <w:sz w:val="24"/>
          <w:szCs w:val="24"/>
        </w:rPr>
        <w:t xml:space="preserve">P.P. Graig (1999) </w:t>
      </w:r>
      <w:r>
        <w:rPr>
          <w:rFonts w:cstheme="minorHAnsi"/>
          <w:b/>
          <w:sz w:val="24"/>
          <w:szCs w:val="24"/>
          <w:u w:val="single"/>
        </w:rPr>
        <w:t>Administrative Law</w:t>
      </w:r>
      <w:r>
        <w:rPr>
          <w:rFonts w:cstheme="minorHAnsi"/>
          <w:sz w:val="24"/>
          <w:szCs w:val="24"/>
        </w:rPr>
        <w:t>, 4</w:t>
      </w:r>
      <w:r>
        <w:rPr>
          <w:rFonts w:cstheme="minorHAnsi"/>
          <w:sz w:val="24"/>
          <w:szCs w:val="24"/>
          <w:vertAlign w:val="superscript"/>
        </w:rPr>
        <w:t>th</w:t>
      </w:r>
      <w:r>
        <w:rPr>
          <w:rFonts w:cstheme="minorHAnsi"/>
          <w:sz w:val="24"/>
          <w:szCs w:val="24"/>
        </w:rPr>
        <w:t xml:space="preserve"> edition, Sweet &amp; Maxwell.</w:t>
      </w:r>
    </w:p>
    <w:p>
      <w:pPr>
        <w:tabs>
          <w:tab w:val="left" w:pos="870"/>
        </w:tabs>
        <w:spacing w:after="0" w:line="240" w:lineRule="auto"/>
        <w:rPr>
          <w:rFonts w:cstheme="minorHAnsi"/>
          <w:sz w:val="24"/>
          <w:szCs w:val="24"/>
        </w:rPr>
      </w:pPr>
    </w:p>
    <w:p>
      <w:pPr>
        <w:tabs>
          <w:tab w:val="left" w:pos="870"/>
        </w:tabs>
        <w:spacing w:after="0" w:line="240" w:lineRule="auto"/>
        <w:rPr>
          <w:rFonts w:cstheme="minorHAnsi"/>
          <w:b/>
          <w:color w:val="FF0000"/>
          <w:sz w:val="24"/>
          <w:szCs w:val="24"/>
        </w:rPr>
      </w:pPr>
      <w:r>
        <w:rPr>
          <w:rFonts w:cstheme="minorHAnsi"/>
          <w:b/>
          <w:color w:val="FF0000"/>
          <w:sz w:val="24"/>
          <w:szCs w:val="24"/>
        </w:rPr>
        <w:t>Recommended Reading:</w:t>
      </w:r>
    </w:p>
    <w:p>
      <w:pPr>
        <w:tabs>
          <w:tab w:val="left" w:pos="870"/>
        </w:tabs>
        <w:spacing w:after="0" w:line="240" w:lineRule="auto"/>
        <w:rPr>
          <w:rFonts w:cstheme="minorHAnsi"/>
          <w:sz w:val="24"/>
          <w:szCs w:val="24"/>
        </w:rPr>
      </w:pPr>
    </w:p>
    <w:p>
      <w:pPr>
        <w:tabs>
          <w:tab w:val="left" w:pos="870"/>
        </w:tabs>
        <w:spacing w:after="0" w:line="240" w:lineRule="auto"/>
        <w:rPr>
          <w:rFonts w:cstheme="minorHAnsi"/>
          <w:sz w:val="24"/>
          <w:szCs w:val="24"/>
        </w:rPr>
      </w:pPr>
      <w:r>
        <w:rPr>
          <w:rFonts w:cstheme="minorHAnsi"/>
          <w:sz w:val="24"/>
          <w:szCs w:val="24"/>
        </w:rPr>
        <w:t xml:space="preserve">D.C.M. Yardley (1986), </w:t>
      </w:r>
      <w:r>
        <w:rPr>
          <w:rFonts w:cstheme="minorHAnsi"/>
          <w:b/>
          <w:sz w:val="24"/>
          <w:szCs w:val="24"/>
        </w:rPr>
        <w:t>Principles of Administrative Law</w:t>
      </w:r>
      <w:r>
        <w:rPr>
          <w:rFonts w:cstheme="minorHAnsi"/>
          <w:sz w:val="24"/>
          <w:szCs w:val="24"/>
        </w:rPr>
        <w:t>, 2</w:t>
      </w:r>
      <w:r>
        <w:rPr>
          <w:rFonts w:cstheme="minorHAnsi"/>
          <w:sz w:val="24"/>
          <w:szCs w:val="24"/>
          <w:vertAlign w:val="superscript"/>
        </w:rPr>
        <w:t>nd</w:t>
      </w:r>
      <w:r>
        <w:rPr>
          <w:rFonts w:cstheme="minorHAnsi"/>
          <w:sz w:val="24"/>
          <w:szCs w:val="24"/>
        </w:rPr>
        <w:t xml:space="preserve"> edition, London: Butterworths.</w:t>
      </w:r>
    </w:p>
    <w:p>
      <w:pPr>
        <w:tabs>
          <w:tab w:val="left" w:pos="870"/>
        </w:tabs>
        <w:spacing w:after="0" w:line="240" w:lineRule="auto"/>
        <w:rPr>
          <w:rFonts w:cstheme="minorHAnsi"/>
          <w:sz w:val="24"/>
          <w:szCs w:val="24"/>
        </w:rPr>
      </w:pPr>
    </w:p>
    <w:p>
      <w:pPr>
        <w:tabs>
          <w:tab w:val="left" w:pos="870"/>
        </w:tabs>
        <w:spacing w:after="0" w:line="240" w:lineRule="auto"/>
        <w:rPr>
          <w:rFonts w:cstheme="minorHAnsi"/>
          <w:sz w:val="24"/>
          <w:szCs w:val="24"/>
        </w:rPr>
      </w:pPr>
      <w:r>
        <w:rPr>
          <w:rFonts w:cstheme="minorHAnsi"/>
          <w:sz w:val="24"/>
          <w:szCs w:val="24"/>
        </w:rPr>
        <w:t xml:space="preserve">Molan Michael T (2201), </w:t>
      </w:r>
      <w:r>
        <w:rPr>
          <w:rFonts w:cstheme="minorHAnsi"/>
          <w:b/>
          <w:sz w:val="24"/>
          <w:szCs w:val="24"/>
        </w:rPr>
        <w:t>Administrative Law</w:t>
      </w:r>
      <w:r>
        <w:rPr>
          <w:rFonts w:cstheme="minorHAnsi"/>
          <w:sz w:val="24"/>
          <w:szCs w:val="24"/>
        </w:rPr>
        <w:t>, 3</w:t>
      </w:r>
      <w:r>
        <w:rPr>
          <w:rFonts w:cstheme="minorHAnsi"/>
          <w:sz w:val="24"/>
          <w:szCs w:val="24"/>
          <w:vertAlign w:val="superscript"/>
        </w:rPr>
        <w:t>rd</w:t>
      </w:r>
      <w:r>
        <w:rPr>
          <w:rFonts w:cstheme="minorHAnsi"/>
          <w:sz w:val="24"/>
          <w:szCs w:val="24"/>
        </w:rPr>
        <w:t xml:space="preserve"> edition, Great Britain: Old Bailey Press.</w:t>
      </w:r>
    </w:p>
    <w:p>
      <w:pPr>
        <w:tabs>
          <w:tab w:val="left" w:pos="870"/>
        </w:tabs>
        <w:spacing w:after="0" w:line="240" w:lineRule="auto"/>
        <w:rPr>
          <w:rFonts w:cstheme="minorHAnsi"/>
          <w:sz w:val="24"/>
          <w:szCs w:val="24"/>
        </w:rPr>
      </w:pPr>
    </w:p>
    <w:p>
      <w:pPr>
        <w:tabs>
          <w:tab w:val="left" w:pos="3750"/>
        </w:tabs>
        <w:spacing w:after="0" w:line="0" w:lineRule="atLeast"/>
        <w:rPr>
          <w:rFonts w:ascii="Calibri" w:hAnsi="Calibri" w:eastAsia="Calibri" w:cs="Arial"/>
          <w:b/>
          <w:sz w:val="28"/>
          <w:szCs w:val="20"/>
        </w:rPr>
      </w:pPr>
      <w:r>
        <w:rPr>
          <w:rFonts w:ascii="Calibri" w:hAnsi="Calibri" w:eastAsia="Calibri" w:cs="Arial"/>
          <w:b/>
          <w:sz w:val="28"/>
          <w:szCs w:val="20"/>
        </w:rPr>
        <w:drawing>
          <wp:anchor distT="0" distB="0" distL="114300" distR="114300" simplePos="0" relativeHeight="251680768" behindDoc="1" locked="0" layoutInCell="1" allowOverlap="1">
            <wp:simplePos x="0" y="0"/>
            <wp:positionH relativeFrom="column">
              <wp:posOffset>0</wp:posOffset>
            </wp:positionH>
            <wp:positionV relativeFrom="paragraph">
              <wp:posOffset>48895</wp:posOffset>
            </wp:positionV>
            <wp:extent cx="1628775" cy="1619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628775" cy="161737"/>
                    </a:xfrm>
                    <a:prstGeom prst="rect">
                      <a:avLst/>
                    </a:prstGeom>
                    <a:noFill/>
                  </pic:spPr>
                </pic:pic>
              </a:graphicData>
            </a:graphic>
          </wp:anchor>
        </w:drawing>
      </w:r>
      <w:r>
        <w:rPr>
          <w:rFonts w:ascii="Calibri" w:hAnsi="Calibri" w:eastAsia="Calibri" w:cs="Arial"/>
          <w:b/>
          <w:sz w:val="28"/>
          <w:szCs w:val="20"/>
        </w:rPr>
        <w:t xml:space="preserve"> 8. Contact Details</w:t>
      </w:r>
      <w:r>
        <w:rPr>
          <w:rFonts w:ascii="Calibri" w:hAnsi="Calibri" w:eastAsia="Calibri" w:cs="Arial"/>
          <w:b/>
          <w:sz w:val="28"/>
          <w:szCs w:val="20"/>
        </w:rPr>
        <w:tab/>
      </w:r>
    </w:p>
    <w:p>
      <w:pPr>
        <w:spacing w:after="0" w:line="20" w:lineRule="exact"/>
        <w:rPr>
          <w:rFonts w:ascii="Times New Roman" w:hAnsi="Times New Roman" w:eastAsia="Times New Roman" w:cs="Arial"/>
          <w:sz w:val="20"/>
          <w:szCs w:val="20"/>
        </w:rPr>
      </w:pPr>
    </w:p>
    <w:p>
      <w:pPr>
        <w:spacing w:after="0" w:line="210" w:lineRule="exact"/>
        <w:rPr>
          <w:rFonts w:ascii="Times New Roman" w:hAnsi="Times New Roman" w:eastAsia="Times New Roman" w:cs="Arial"/>
          <w:sz w:val="20"/>
          <w:szCs w:val="20"/>
        </w:rPr>
      </w:pPr>
    </w:p>
    <w:p>
      <w:pPr>
        <w:spacing w:after="0" w:line="196" w:lineRule="auto"/>
        <w:jc w:val="both"/>
        <w:rPr>
          <w:rFonts w:hint="default" w:ascii="Calibri" w:hAnsi="Calibri" w:eastAsia="Calibri" w:cs="Arial"/>
          <w:sz w:val="24"/>
          <w:szCs w:val="20"/>
          <w:lang w:val="en-US"/>
        </w:rPr>
      </w:pPr>
      <w:r>
        <w:rPr>
          <w:rFonts w:hint="default" w:ascii="Calibri" w:hAnsi="Calibri" w:eastAsia="Calibri" w:cs="Arial"/>
          <w:sz w:val="24"/>
          <w:szCs w:val="20"/>
          <w:lang w:val="en-US"/>
        </w:rPr>
        <w:t xml:space="preserve">Lecturer: </w:t>
      </w:r>
      <w:r>
        <w:rPr>
          <w:rFonts w:hint="default" w:ascii="Calibri" w:hAnsi="Calibri" w:eastAsia="Calibri" w:cs="Arial"/>
          <w:sz w:val="24"/>
          <w:szCs w:val="20"/>
          <w:lang w:val="en-US"/>
        </w:rPr>
        <w:tab/>
        <w:t>Ms Winjie Siwale</w:t>
      </w:r>
    </w:p>
    <w:p>
      <w:pPr>
        <w:spacing w:after="0" w:line="196" w:lineRule="auto"/>
        <w:jc w:val="both"/>
        <w:rPr>
          <w:rFonts w:hint="default" w:ascii="Calibri" w:hAnsi="Calibri" w:eastAsia="Calibri" w:cs="Arial"/>
          <w:sz w:val="24"/>
          <w:szCs w:val="20"/>
          <w:lang w:val="en-US"/>
        </w:rPr>
      </w:pPr>
      <w:r>
        <w:rPr>
          <w:rFonts w:hint="default" w:ascii="Calibri" w:hAnsi="Calibri" w:eastAsia="Calibri" w:cs="Arial"/>
          <w:sz w:val="24"/>
          <w:szCs w:val="20"/>
          <w:lang w:val="en-US"/>
        </w:rPr>
        <w:t>Email:</w:t>
      </w:r>
      <w:r>
        <w:rPr>
          <w:rFonts w:hint="default" w:ascii="Calibri" w:hAnsi="Calibri" w:eastAsia="Calibri" w:cs="Arial"/>
          <w:sz w:val="24"/>
          <w:szCs w:val="20"/>
          <w:lang w:val="en-US"/>
        </w:rPr>
        <w:tab/>
        <w:t/>
      </w:r>
      <w:r>
        <w:rPr>
          <w:rFonts w:hint="default" w:ascii="Calibri" w:hAnsi="Calibri" w:eastAsia="Calibri" w:cs="Arial"/>
          <w:sz w:val="24"/>
          <w:szCs w:val="20"/>
          <w:lang w:val="en-US"/>
        </w:rPr>
        <w:tab/>
      </w:r>
      <w:r>
        <w:rPr>
          <w:rFonts w:hint="default" w:ascii="Calibri" w:hAnsi="Calibri" w:eastAsia="Calibri" w:cs="Arial"/>
          <w:sz w:val="24"/>
          <w:szCs w:val="20"/>
          <w:lang w:val="en-US"/>
        </w:rPr>
        <w:fldChar w:fldCharType="begin"/>
      </w:r>
      <w:r>
        <w:rPr>
          <w:rFonts w:hint="default" w:ascii="Calibri" w:hAnsi="Calibri" w:eastAsia="Calibri" w:cs="Arial"/>
          <w:sz w:val="24"/>
          <w:szCs w:val="20"/>
          <w:lang w:val="en-US"/>
        </w:rPr>
        <w:instrText xml:space="preserve"> HYPERLINK "mailto:wsiwale@unilus.ac.zm" </w:instrText>
      </w:r>
      <w:r>
        <w:rPr>
          <w:rFonts w:hint="default" w:ascii="Calibri" w:hAnsi="Calibri" w:eastAsia="Calibri" w:cs="Arial"/>
          <w:sz w:val="24"/>
          <w:szCs w:val="20"/>
          <w:lang w:val="en-US"/>
        </w:rPr>
        <w:fldChar w:fldCharType="separate"/>
      </w:r>
      <w:r>
        <w:rPr>
          <w:rStyle w:val="5"/>
          <w:rFonts w:hint="default" w:ascii="Calibri" w:hAnsi="Calibri" w:eastAsia="Calibri" w:cs="Arial"/>
          <w:sz w:val="24"/>
          <w:szCs w:val="20"/>
          <w:lang w:val="en-US"/>
        </w:rPr>
        <w:t>wsiwale@unilus.ac.zm</w:t>
      </w:r>
      <w:r>
        <w:rPr>
          <w:rFonts w:hint="default" w:ascii="Calibri" w:hAnsi="Calibri" w:eastAsia="Calibri" w:cs="Arial"/>
          <w:sz w:val="24"/>
          <w:szCs w:val="20"/>
          <w:lang w:val="en-US"/>
        </w:rPr>
        <w:fldChar w:fldCharType="end"/>
      </w:r>
      <w:r>
        <w:rPr>
          <w:rFonts w:hint="default" w:ascii="Calibri" w:hAnsi="Calibri" w:eastAsia="Calibri" w:cs="Arial"/>
          <w:sz w:val="24"/>
          <w:szCs w:val="20"/>
          <w:lang w:val="en-US"/>
        </w:rPr>
        <w:t xml:space="preserve"> </w:t>
      </w:r>
    </w:p>
    <w:p>
      <w:pPr>
        <w:spacing w:after="0" w:line="196" w:lineRule="auto"/>
        <w:jc w:val="both"/>
        <w:rPr>
          <w:rFonts w:ascii="Calibri" w:hAnsi="Calibri" w:eastAsia="Calibri" w:cs="Arial"/>
          <w:color w:val="000000"/>
          <w:sz w:val="24"/>
          <w:szCs w:val="20"/>
        </w:rPr>
      </w:pPr>
      <w:r>
        <w:rPr>
          <w:rFonts w:hint="default" w:ascii="Calibri" w:hAnsi="Calibri" w:eastAsia="Calibri" w:cs="Arial"/>
          <w:sz w:val="24"/>
          <w:szCs w:val="20"/>
          <w:lang w:val="en-US"/>
        </w:rPr>
        <w:t>Phone:</w:t>
      </w:r>
      <w:r>
        <w:rPr>
          <w:rFonts w:hint="default" w:ascii="Calibri" w:hAnsi="Calibri" w:eastAsia="Calibri" w:cs="Arial"/>
          <w:sz w:val="24"/>
          <w:szCs w:val="20"/>
          <w:lang w:val="en-US"/>
        </w:rPr>
        <w:tab/>
        <w:t/>
      </w:r>
      <w:r>
        <w:rPr>
          <w:rFonts w:hint="default" w:ascii="Calibri" w:hAnsi="Calibri" w:eastAsia="Calibri" w:cs="Arial"/>
          <w:sz w:val="24"/>
          <w:szCs w:val="20"/>
          <w:lang w:val="en-US"/>
        </w:rPr>
        <w:tab/>
        <w:t>0977421402</w:t>
      </w:r>
      <w:bookmarkStart w:id="0" w:name="_GoBack"/>
      <w:bookmarkEnd w:id="0"/>
      <w:r>
        <w:rPr>
          <w:rFonts w:ascii="Calibri" w:hAnsi="Calibri" w:eastAsia="Calibri" w:cs="Arial"/>
          <w:color w:val="000000"/>
          <w:sz w:val="24"/>
          <w:szCs w:val="20"/>
        </w:rPr>
        <w:t xml:space="preserve"> </w:t>
      </w:r>
    </w:p>
    <w:p>
      <w:pPr>
        <w:spacing w:after="0" w:line="196" w:lineRule="auto"/>
        <w:jc w:val="both"/>
        <w:rPr>
          <w:rFonts w:ascii="Calibri" w:hAnsi="Calibri" w:eastAsia="Calibri" w:cs="Arial"/>
          <w:color w:val="000000"/>
          <w:sz w:val="24"/>
          <w:szCs w:val="20"/>
        </w:rPr>
      </w:pPr>
    </w:p>
    <w:p>
      <w:pPr>
        <w:spacing w:after="0" w:line="2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r>
        <w:rPr>
          <w:rFonts w:ascii="Calibri" w:hAnsi="Calibri" w:eastAsia="Calibri" w:cs="Arial"/>
          <w:color w:val="000000"/>
          <w:sz w:val="24"/>
          <w:szCs w:val="20"/>
        </w:rPr>
        <w:drawing>
          <wp:anchor distT="0" distB="0" distL="114300" distR="114300" simplePos="0" relativeHeight="251681792" behindDoc="1" locked="0" layoutInCell="1" allowOverlap="1">
            <wp:simplePos x="0" y="0"/>
            <wp:positionH relativeFrom="column">
              <wp:posOffset>2181225</wp:posOffset>
            </wp:positionH>
            <wp:positionV relativeFrom="paragraph">
              <wp:posOffset>-380365</wp:posOffset>
            </wp:positionV>
            <wp:extent cx="1435100" cy="13239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35132" cy="1323975"/>
                    </a:xfrm>
                    <a:prstGeom prst="rect">
                      <a:avLst/>
                    </a:prstGeom>
                    <a:noFill/>
                  </pic:spPr>
                </pic:pic>
              </a:graphicData>
            </a:graphic>
          </wp:anchor>
        </w:drawing>
      </w: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200" w:lineRule="exact"/>
        <w:rPr>
          <w:rFonts w:ascii="Times New Roman" w:hAnsi="Times New Roman" w:eastAsia="Times New Roman" w:cs="Arial"/>
          <w:sz w:val="20"/>
          <w:szCs w:val="20"/>
        </w:rPr>
      </w:pPr>
    </w:p>
    <w:p>
      <w:pPr>
        <w:spacing w:after="0" w:line="383" w:lineRule="exact"/>
        <w:rPr>
          <w:rFonts w:ascii="Times New Roman" w:hAnsi="Times New Roman" w:eastAsia="Times New Roman" w:cs="Arial"/>
          <w:sz w:val="20"/>
          <w:szCs w:val="20"/>
        </w:rPr>
      </w:pPr>
    </w:p>
    <w:p>
      <w:pPr>
        <w:spacing w:after="0" w:line="0" w:lineRule="atLeast"/>
        <w:ind w:right="20"/>
        <w:jc w:val="center"/>
        <w:rPr>
          <w:rFonts w:ascii="Lucida Handwriting" w:hAnsi="Lucida Handwriting" w:eastAsia="Lucida Handwriting" w:cs="Arial"/>
          <w:b/>
          <w:i/>
          <w:sz w:val="36"/>
          <w:szCs w:val="20"/>
        </w:rPr>
      </w:pPr>
      <w:r>
        <w:rPr>
          <w:rFonts w:ascii="Lucida Handwriting" w:hAnsi="Lucida Handwriting" w:eastAsia="Lucida Handwriting" w:cs="Arial"/>
          <w:b/>
          <w:i/>
          <w:sz w:val="36"/>
          <w:szCs w:val="20"/>
        </w:rPr>
        <w:t>ENJOY THE COURSE!</w:t>
      </w:r>
    </w:p>
    <w:sectPr>
      <w:footerReference r:id="rId3" w:type="default"/>
      <w:pgSz w:w="12240" w:h="15840"/>
      <w:pgMar w:top="1440" w:right="1440" w:bottom="1440" w:left="1440" w:header="720" w:footer="720" w:gutter="0"/>
      <w:pgBorders w:offsetFrom="page">
        <w:top w:val="double" w:color="auto" w:sz="4" w:space="24"/>
        <w:left w:val="double" w:color="auto" w:sz="4" w:space="24"/>
        <w:bottom w:val="double" w:color="auto" w:sz="4" w:space="24"/>
        <w:right w:val="double" w:color="auto" w:sz="4" w:space="24"/>
      </w:pgBorders>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Copperplate Gothic Bold">
    <w:altName w:val="Segoe Print"/>
    <w:panose1 w:val="020E0705020206020404"/>
    <w:charset w:val="00"/>
    <w:family w:val="swiss"/>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Lucida Handwriting">
    <w:altName w:val="Mongolian Baiti"/>
    <w:panose1 w:val="03010101010101010101"/>
    <w:charset w:val="00"/>
    <w:family w:val="script"/>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 w:name="Mongolian Baiti">
    <w:panose1 w:val="03000500000000000000"/>
    <w:charset w:val="00"/>
    <w:family w:val="auto"/>
    <w:pitch w:val="default"/>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p>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32F8C"/>
    <w:multiLevelType w:val="multilevel"/>
    <w:tmpl w:val="08432F8C"/>
    <w:lvl w:ilvl="0" w:tentative="0">
      <w:start w:val="6"/>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
    <w:nsid w:val="172B7ABA"/>
    <w:multiLevelType w:val="multilevel"/>
    <w:tmpl w:val="172B7ABA"/>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
    <w:nsid w:val="21684247"/>
    <w:multiLevelType w:val="multilevel"/>
    <w:tmpl w:val="21684247"/>
    <w:lvl w:ilvl="0" w:tentative="0">
      <w:start w:val="5"/>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
    <w:nsid w:val="24127884"/>
    <w:multiLevelType w:val="multilevel"/>
    <w:tmpl w:val="24127884"/>
    <w:lvl w:ilvl="0" w:tentative="0">
      <w:start w:val="8"/>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
    <w:nsid w:val="283B0EAB"/>
    <w:multiLevelType w:val="multilevel"/>
    <w:tmpl w:val="283B0EA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29B6695B"/>
    <w:multiLevelType w:val="multilevel"/>
    <w:tmpl w:val="29B6695B"/>
    <w:lvl w:ilvl="0" w:tentative="0">
      <w:start w:val="9"/>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38350BC9"/>
    <w:multiLevelType w:val="multilevel"/>
    <w:tmpl w:val="38350BC9"/>
    <w:lvl w:ilvl="0" w:tentative="0">
      <w:start w:val="10"/>
      <w:numFmt w:val="decimal"/>
      <w:lvlText w:val="%1"/>
      <w:lvlJc w:val="left"/>
      <w:pPr>
        <w:ind w:left="420" w:hanging="420"/>
      </w:pPr>
      <w:rPr>
        <w:rFonts w:hint="default"/>
      </w:rPr>
    </w:lvl>
    <w:lvl w:ilvl="1" w:tentative="0">
      <w:start w:val="1"/>
      <w:numFmt w:val="decimal"/>
      <w:lvlText w:val="%1.%2"/>
      <w:lvlJc w:val="left"/>
      <w:pPr>
        <w:ind w:left="420" w:hanging="4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7">
    <w:nsid w:val="3BE74A60"/>
    <w:multiLevelType w:val="multilevel"/>
    <w:tmpl w:val="3BE74A60"/>
    <w:lvl w:ilvl="0" w:tentative="0">
      <w:start w:val="7"/>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8">
    <w:nsid w:val="406052AF"/>
    <w:multiLevelType w:val="multilevel"/>
    <w:tmpl w:val="406052AF"/>
    <w:lvl w:ilvl="0" w:tentative="0">
      <w:start w:val="3"/>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9">
    <w:nsid w:val="4B245F34"/>
    <w:multiLevelType w:val="multilevel"/>
    <w:tmpl w:val="4B245F34"/>
    <w:lvl w:ilvl="0" w:tentative="0">
      <w:start w:val="2"/>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0">
    <w:nsid w:val="5E6B0809"/>
    <w:multiLevelType w:val="multilevel"/>
    <w:tmpl w:val="5E6B0809"/>
    <w:lvl w:ilvl="0" w:tentative="0">
      <w:start w:val="11"/>
      <w:numFmt w:val="decimal"/>
      <w:lvlText w:val="%1"/>
      <w:lvlJc w:val="left"/>
      <w:pPr>
        <w:ind w:left="420" w:hanging="420"/>
      </w:pPr>
      <w:rPr>
        <w:rFonts w:hint="default"/>
      </w:rPr>
    </w:lvl>
    <w:lvl w:ilvl="1" w:tentative="0">
      <w:start w:val="1"/>
      <w:numFmt w:val="decimal"/>
      <w:lvlText w:val="%1.%2"/>
      <w:lvlJc w:val="left"/>
      <w:pPr>
        <w:ind w:left="420" w:hanging="4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1">
    <w:nsid w:val="72515522"/>
    <w:multiLevelType w:val="multilevel"/>
    <w:tmpl w:val="7251552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7936577A"/>
    <w:multiLevelType w:val="multilevel"/>
    <w:tmpl w:val="7936577A"/>
    <w:lvl w:ilvl="0" w:tentative="0">
      <w:start w:val="4"/>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3">
    <w:nsid w:val="7B7F1519"/>
    <w:multiLevelType w:val="multilevel"/>
    <w:tmpl w:val="7B7F151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3"/>
  </w:num>
  <w:num w:numId="2">
    <w:abstractNumId w:val="11"/>
  </w:num>
  <w:num w:numId="3">
    <w:abstractNumId w:val="4"/>
  </w:num>
  <w:num w:numId="4">
    <w:abstractNumId w:val="1"/>
  </w:num>
  <w:num w:numId="5">
    <w:abstractNumId w:val="9"/>
  </w:num>
  <w:num w:numId="6">
    <w:abstractNumId w:val="8"/>
  </w:num>
  <w:num w:numId="7">
    <w:abstractNumId w:val="12"/>
  </w:num>
  <w:num w:numId="8">
    <w:abstractNumId w:val="2"/>
  </w:num>
  <w:num w:numId="9">
    <w:abstractNumId w:val="0"/>
  </w:num>
  <w:num w:numId="10">
    <w:abstractNumId w:val="7"/>
  </w:num>
  <w:num w:numId="11">
    <w:abstractNumId w:val="3"/>
  </w:num>
  <w:num w:numId="12">
    <w:abstractNumId w:val="5"/>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558"/>
    <w:rsid w:val="002513D1"/>
    <w:rsid w:val="003624B9"/>
    <w:rsid w:val="0040764B"/>
    <w:rsid w:val="00411C3B"/>
    <w:rsid w:val="005C0A67"/>
    <w:rsid w:val="006F19D6"/>
    <w:rsid w:val="00763866"/>
    <w:rsid w:val="007D0EB5"/>
    <w:rsid w:val="008F7F26"/>
    <w:rsid w:val="00902DFA"/>
    <w:rsid w:val="00957FAD"/>
    <w:rsid w:val="00A1693F"/>
    <w:rsid w:val="00B73C4A"/>
    <w:rsid w:val="00C52AEA"/>
    <w:rsid w:val="00C553DE"/>
    <w:rsid w:val="00D71558"/>
    <w:rsid w:val="00EE0C31"/>
    <w:rsid w:val="2BD142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4">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9"/>
    <w:unhideWhenUsed/>
    <w:uiPriority w:val="99"/>
    <w:pPr>
      <w:tabs>
        <w:tab w:val="center" w:pos="4680"/>
        <w:tab w:val="right" w:pos="9360"/>
      </w:tabs>
      <w:spacing w:after="0" w:line="240" w:lineRule="auto"/>
    </w:pPr>
  </w:style>
  <w:style w:type="paragraph" w:styleId="3">
    <w:name w:val="header"/>
    <w:basedOn w:val="1"/>
    <w:link w:val="8"/>
    <w:unhideWhenUsed/>
    <w:uiPriority w:val="99"/>
    <w:pPr>
      <w:tabs>
        <w:tab w:val="center" w:pos="4680"/>
        <w:tab w:val="right" w:pos="9360"/>
      </w:tabs>
      <w:spacing w:after="0" w:line="240" w:lineRule="auto"/>
    </w:pPr>
  </w:style>
  <w:style w:type="character" w:styleId="5">
    <w:name w:val="Hyperlink"/>
    <w:basedOn w:val="4"/>
    <w:semiHidden/>
    <w:unhideWhenUsed/>
    <w:uiPriority w:val="99"/>
    <w:rPr>
      <w:color w:val="0000FF"/>
      <w:u w:val="single"/>
    </w:rPr>
  </w:style>
  <w:style w:type="paragraph" w:styleId="7">
    <w:name w:val="List Paragraph"/>
    <w:basedOn w:val="1"/>
    <w:qFormat/>
    <w:uiPriority w:val="34"/>
    <w:pPr>
      <w:ind w:left="720"/>
      <w:contextualSpacing/>
    </w:pPr>
  </w:style>
  <w:style w:type="character" w:customStyle="1" w:styleId="8">
    <w:name w:val="Header Char"/>
    <w:basedOn w:val="4"/>
    <w:link w:val="3"/>
    <w:uiPriority w:val="99"/>
  </w:style>
  <w:style w:type="character" w:customStyle="1" w:styleId="9">
    <w:name w:val="Footer Char"/>
    <w:basedOn w:val="4"/>
    <w:link w:val="2"/>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1019</Words>
  <Characters>5814</Characters>
  <Lines>48</Lines>
  <Paragraphs>13</Paragraphs>
  <TotalTime>3</TotalTime>
  <ScaleCrop>false</ScaleCrop>
  <LinksUpToDate>false</LinksUpToDate>
  <CharactersWithSpaces>6820</CharactersWithSpaces>
  <Application>WPS Office_11.2.0.8934_F1E327BC-269C-435d-A152-05C5408002CA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2019-08-09T12:05:00Z</dcterms:created>
  <dc:creator>WInjie</dc:creator>
  <cp:lastModifiedBy>swinjie</cp:lastModifiedBy>
  <dcterms:modified xsi:type="dcterms:W3CDTF">2019-08-20T13:47:12Z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1033-11.2.0.8934</vt:lpwstr>
  </property>
</Properties>
</file>