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11" w:rsidRPr="00825411" w:rsidRDefault="00825411" w:rsidP="00825411">
      <w:pPr>
        <w:jc w:val="center"/>
        <w:rPr>
          <w:rFonts w:ascii="Arial" w:hAnsi="Arial" w:cs="Arial"/>
          <w:b/>
          <w:sz w:val="28"/>
          <w:szCs w:val="28"/>
        </w:rPr>
      </w:pPr>
      <w:bookmarkStart w:id="0" w:name="_GoBack"/>
      <w:bookmarkEnd w:id="0"/>
      <w:r w:rsidRPr="00825411">
        <w:rPr>
          <w:rFonts w:ascii="Arial" w:hAnsi="Arial" w:cs="Arial"/>
          <w:b/>
          <w:sz w:val="28"/>
          <w:szCs w:val="28"/>
        </w:rPr>
        <w:t>UNIT 5</w:t>
      </w:r>
    </w:p>
    <w:p w:rsidR="00EE22E0" w:rsidRDefault="00825411" w:rsidP="00825411">
      <w:pPr>
        <w:jc w:val="center"/>
        <w:rPr>
          <w:rFonts w:ascii="Arial" w:hAnsi="Arial" w:cs="Arial"/>
          <w:b/>
          <w:sz w:val="28"/>
          <w:szCs w:val="28"/>
        </w:rPr>
      </w:pPr>
      <w:r w:rsidRPr="00825411">
        <w:rPr>
          <w:rFonts w:ascii="Arial" w:hAnsi="Arial" w:cs="Arial"/>
          <w:b/>
          <w:sz w:val="28"/>
          <w:szCs w:val="28"/>
        </w:rPr>
        <w:t>SPECIALISED UN HUMAN RIGHTS TREATIES</w:t>
      </w:r>
    </w:p>
    <w:p w:rsidR="00555612" w:rsidRPr="005435C8" w:rsidRDefault="00555612" w:rsidP="0017653F">
      <w:pPr>
        <w:spacing w:line="360" w:lineRule="auto"/>
        <w:rPr>
          <w:rFonts w:ascii="Arial" w:hAnsi="Arial" w:cs="Arial"/>
          <w:sz w:val="28"/>
          <w:szCs w:val="28"/>
          <w:u w:val="single"/>
        </w:rPr>
      </w:pPr>
      <w:r w:rsidRPr="005435C8">
        <w:rPr>
          <w:rFonts w:ascii="Arial" w:hAnsi="Arial" w:cs="Arial"/>
          <w:sz w:val="28"/>
          <w:szCs w:val="28"/>
          <w:u w:val="single"/>
        </w:rPr>
        <w:t>Introduction</w:t>
      </w:r>
    </w:p>
    <w:p w:rsidR="00555612" w:rsidRPr="005435C8" w:rsidRDefault="00555612" w:rsidP="0017653F">
      <w:pPr>
        <w:spacing w:line="360" w:lineRule="auto"/>
        <w:rPr>
          <w:rFonts w:ascii="Arial" w:hAnsi="Arial" w:cs="Arial"/>
          <w:sz w:val="24"/>
          <w:szCs w:val="24"/>
        </w:rPr>
      </w:pPr>
      <w:r w:rsidRPr="005435C8">
        <w:rPr>
          <w:rFonts w:ascii="Arial" w:hAnsi="Arial" w:cs="Arial"/>
          <w:sz w:val="24"/>
          <w:szCs w:val="24"/>
        </w:rPr>
        <w:t>In this unit we will learn about specialized human rights conventions on women children and people with disabilities. We will also learn about the rights of this group of people at a domestic level.</w:t>
      </w:r>
    </w:p>
    <w:p w:rsidR="00825411" w:rsidRPr="00555612" w:rsidRDefault="00555612" w:rsidP="0017653F">
      <w:pPr>
        <w:spacing w:line="360" w:lineRule="auto"/>
        <w:rPr>
          <w:rFonts w:ascii="Arial" w:hAnsi="Arial" w:cs="Arial"/>
          <w:b/>
          <w:sz w:val="28"/>
          <w:szCs w:val="28"/>
        </w:rPr>
      </w:pPr>
      <w:r w:rsidRPr="00555612">
        <w:rPr>
          <w:rFonts w:ascii="Arial" w:hAnsi="Arial" w:cs="Arial"/>
          <w:b/>
          <w:sz w:val="28"/>
          <w:szCs w:val="28"/>
          <w:u w:val="single"/>
        </w:rPr>
        <w:t>The Convention on the Elimination of Discrimination against Women (CEDAW</w:t>
      </w:r>
      <w:r>
        <w:rPr>
          <w:rFonts w:ascii="Arial" w:hAnsi="Arial" w:cs="Arial"/>
          <w:b/>
          <w:sz w:val="28"/>
          <w:szCs w:val="28"/>
        </w:rPr>
        <w:t>)</w:t>
      </w:r>
    </w:p>
    <w:p w:rsidR="00555612" w:rsidRPr="005435C8" w:rsidRDefault="00457644" w:rsidP="0017653F">
      <w:pPr>
        <w:spacing w:line="360" w:lineRule="auto"/>
        <w:rPr>
          <w:rFonts w:ascii="Arial" w:hAnsi="Arial" w:cs="Arial"/>
          <w:sz w:val="24"/>
          <w:szCs w:val="24"/>
        </w:rPr>
      </w:pPr>
      <w:r w:rsidRPr="00457644">
        <w:rPr>
          <w:rFonts w:ascii="Arial" w:hAnsi="Arial" w:cs="Arial"/>
          <w:sz w:val="24"/>
          <w:szCs w:val="24"/>
        </w:rPr>
        <w:t>CEDAW is often described as the international bill of rights for women</w:t>
      </w:r>
      <w:r>
        <w:rPr>
          <w:rFonts w:ascii="Arial" w:hAnsi="Arial" w:cs="Arial"/>
          <w:sz w:val="24"/>
          <w:szCs w:val="24"/>
        </w:rPr>
        <w:t>.</w:t>
      </w:r>
      <w:r w:rsidRPr="00457644">
        <w:rPr>
          <w:rFonts w:ascii="Arial" w:hAnsi="Arial" w:cs="Arial"/>
          <w:sz w:val="24"/>
          <w:szCs w:val="24"/>
        </w:rPr>
        <w:t xml:space="preserve"> </w:t>
      </w:r>
      <w:r w:rsidR="00555612" w:rsidRPr="005435C8">
        <w:rPr>
          <w:rFonts w:ascii="Arial" w:hAnsi="Arial" w:cs="Arial"/>
          <w:sz w:val="24"/>
          <w:szCs w:val="24"/>
        </w:rPr>
        <w:t xml:space="preserve">Equal rights of women and men are a basic principle of law embodied in the charter of the United Nations and in numerous human rights instruments in the preamble and in the provisions dealing with non-discrimination, </w:t>
      </w:r>
      <w:r w:rsidR="0017653F" w:rsidRPr="005435C8">
        <w:rPr>
          <w:rFonts w:ascii="Arial" w:hAnsi="Arial" w:cs="Arial"/>
          <w:sz w:val="24"/>
          <w:szCs w:val="24"/>
        </w:rPr>
        <w:t>e.g.</w:t>
      </w:r>
      <w:r w:rsidR="00555612" w:rsidRPr="005435C8">
        <w:rPr>
          <w:rFonts w:ascii="Arial" w:hAnsi="Arial" w:cs="Arial"/>
          <w:sz w:val="24"/>
          <w:szCs w:val="24"/>
        </w:rPr>
        <w:t xml:space="preserve"> Article 1, Para. 3 and Article 55of the Charter. This principle is proclaimed in the Universal Declaration as well as in the two covenants (Articles 1 and 2 of the Universal Declaration and in both covenants, but in different paragraphs). In addition, states pa</w:t>
      </w:r>
      <w:r w:rsidR="005E0562" w:rsidRPr="005435C8">
        <w:rPr>
          <w:rFonts w:ascii="Arial" w:hAnsi="Arial" w:cs="Arial"/>
          <w:sz w:val="24"/>
          <w:szCs w:val="24"/>
        </w:rPr>
        <w:t xml:space="preserve">rties specifically undertake to </w:t>
      </w:r>
      <w:r w:rsidR="00555612" w:rsidRPr="005435C8">
        <w:rPr>
          <w:rFonts w:ascii="Arial" w:hAnsi="Arial" w:cs="Arial"/>
          <w:sz w:val="24"/>
          <w:szCs w:val="24"/>
        </w:rPr>
        <w:t>ensure the equal right of men and women to the enjoyment of all ri</w:t>
      </w:r>
      <w:r w:rsidR="005E0562" w:rsidRPr="005435C8">
        <w:rPr>
          <w:rFonts w:ascii="Arial" w:hAnsi="Arial" w:cs="Arial"/>
          <w:sz w:val="24"/>
          <w:szCs w:val="24"/>
        </w:rPr>
        <w:t xml:space="preserve">ghts set forth in each covenant </w:t>
      </w:r>
      <w:r w:rsidR="00555612" w:rsidRPr="005435C8">
        <w:rPr>
          <w:rFonts w:ascii="Arial" w:hAnsi="Arial" w:cs="Arial"/>
          <w:sz w:val="24"/>
          <w:szCs w:val="24"/>
        </w:rPr>
        <w:t>(Article 3 of both covenants).</w:t>
      </w:r>
    </w:p>
    <w:p w:rsidR="005435C8" w:rsidRDefault="005435C8" w:rsidP="005435C8">
      <w:pPr>
        <w:spacing w:line="360" w:lineRule="auto"/>
        <w:rPr>
          <w:rFonts w:ascii="Arial" w:hAnsi="Arial" w:cs="Arial"/>
          <w:sz w:val="24"/>
          <w:szCs w:val="24"/>
        </w:rPr>
      </w:pPr>
      <w:r w:rsidRPr="005435C8">
        <w:rPr>
          <w:rFonts w:ascii="Arial" w:hAnsi="Arial" w:cs="Arial"/>
          <w:sz w:val="24"/>
          <w:szCs w:val="24"/>
        </w:rPr>
        <w:t>Despite this basic principle of non-discrimination and of integration of</w:t>
      </w:r>
      <w:r>
        <w:rPr>
          <w:rFonts w:ascii="Arial" w:hAnsi="Arial" w:cs="Arial"/>
          <w:sz w:val="24"/>
          <w:szCs w:val="24"/>
        </w:rPr>
        <w:t xml:space="preserve"> all human rights regardless of </w:t>
      </w:r>
      <w:r w:rsidRPr="005435C8">
        <w:rPr>
          <w:rFonts w:ascii="Arial" w:hAnsi="Arial" w:cs="Arial"/>
          <w:sz w:val="24"/>
          <w:szCs w:val="24"/>
        </w:rPr>
        <w:t>gender, developments relating to their actual implementation in law a</w:t>
      </w:r>
      <w:r>
        <w:rPr>
          <w:rFonts w:ascii="Arial" w:hAnsi="Arial" w:cs="Arial"/>
          <w:sz w:val="24"/>
          <w:szCs w:val="24"/>
        </w:rPr>
        <w:t xml:space="preserve">nd practice have been slow. The </w:t>
      </w:r>
      <w:r w:rsidRPr="005435C8">
        <w:rPr>
          <w:rFonts w:ascii="Arial" w:hAnsi="Arial" w:cs="Arial"/>
          <w:sz w:val="24"/>
          <w:szCs w:val="24"/>
        </w:rPr>
        <w:t>United Nations has therefore from the outset tried to promote the necessary changes in regard to the equal enjoyment by women of human rights and their equal status to men. The creation of a special functional commission, the Commission on the Status of Women and a number of legal instruments relating to the enjoyment of women of human rights has been decided upon. Such conventions have also been concluded within the framework of the International Labor Organization (ILO), governing discrimination in employment, equal remuneration, protection from hazardous work and maternity protection.</w:t>
      </w:r>
    </w:p>
    <w:p w:rsidR="007D5956" w:rsidRDefault="00CD7371" w:rsidP="007E321A">
      <w:pPr>
        <w:spacing w:line="360" w:lineRule="auto"/>
        <w:rPr>
          <w:rFonts w:ascii="Arial" w:hAnsi="Arial" w:cs="Arial"/>
          <w:sz w:val="24"/>
          <w:szCs w:val="24"/>
        </w:rPr>
      </w:pPr>
      <w:r w:rsidRPr="00CD7371">
        <w:rPr>
          <w:rFonts w:ascii="Arial" w:hAnsi="Arial" w:cs="Arial"/>
          <w:sz w:val="24"/>
          <w:szCs w:val="24"/>
        </w:rPr>
        <w:t>The commission on the status of women was established in the early days of the United Nations, in</w:t>
      </w:r>
      <w:r>
        <w:rPr>
          <w:rFonts w:ascii="Arial" w:hAnsi="Arial" w:cs="Arial"/>
          <w:sz w:val="24"/>
          <w:szCs w:val="24"/>
        </w:rPr>
        <w:t xml:space="preserve"> </w:t>
      </w:r>
      <w:r w:rsidRPr="00CD7371">
        <w:rPr>
          <w:rFonts w:ascii="Arial" w:hAnsi="Arial" w:cs="Arial"/>
          <w:sz w:val="24"/>
          <w:szCs w:val="24"/>
        </w:rPr>
        <w:t xml:space="preserve">1943. In 1967, the General Assembly adopted the </w:t>
      </w:r>
      <w:r w:rsidRPr="004A3740">
        <w:rPr>
          <w:rFonts w:ascii="Arial" w:hAnsi="Arial" w:cs="Arial"/>
          <w:b/>
          <w:sz w:val="24"/>
          <w:szCs w:val="24"/>
        </w:rPr>
        <w:t>Declaration on the Elimination of Discrimination against Women</w:t>
      </w:r>
      <w:r w:rsidRPr="00CD7371">
        <w:rPr>
          <w:rFonts w:ascii="Arial" w:hAnsi="Arial" w:cs="Arial"/>
          <w:sz w:val="24"/>
          <w:szCs w:val="24"/>
        </w:rPr>
        <w:t>. This was a reaction based on a growing concern that additional mean</w:t>
      </w:r>
      <w:r>
        <w:rPr>
          <w:rFonts w:ascii="Arial" w:hAnsi="Arial" w:cs="Arial"/>
          <w:sz w:val="24"/>
          <w:szCs w:val="24"/>
        </w:rPr>
        <w:t xml:space="preserve">s for </w:t>
      </w:r>
      <w:r w:rsidRPr="00CD7371">
        <w:rPr>
          <w:rFonts w:ascii="Arial" w:hAnsi="Arial" w:cs="Arial"/>
          <w:sz w:val="24"/>
          <w:szCs w:val="24"/>
        </w:rPr>
        <w:t>promoting and protecting equal enjoyment of human rights by women is necessary</w:t>
      </w:r>
      <w:r w:rsidR="0024630C">
        <w:rPr>
          <w:rFonts w:ascii="Arial" w:hAnsi="Arial" w:cs="Arial"/>
          <w:sz w:val="24"/>
          <w:szCs w:val="24"/>
        </w:rPr>
        <w:t xml:space="preserve">. </w:t>
      </w:r>
      <w:r w:rsidR="0024630C" w:rsidRPr="0024630C">
        <w:rPr>
          <w:rFonts w:ascii="Arial" w:hAnsi="Arial" w:cs="Arial"/>
          <w:sz w:val="24"/>
          <w:szCs w:val="24"/>
        </w:rPr>
        <w:t xml:space="preserve">In 1972 the secretary-General asked the Commission on the Status </w:t>
      </w:r>
      <w:r w:rsidR="0024630C">
        <w:rPr>
          <w:rFonts w:ascii="Arial" w:hAnsi="Arial" w:cs="Arial"/>
          <w:sz w:val="24"/>
          <w:szCs w:val="24"/>
        </w:rPr>
        <w:t xml:space="preserve">of Women to request the view of </w:t>
      </w:r>
      <w:r w:rsidR="0024630C" w:rsidRPr="0024630C">
        <w:rPr>
          <w:rFonts w:ascii="Arial" w:hAnsi="Arial" w:cs="Arial"/>
          <w:sz w:val="24"/>
          <w:szCs w:val="24"/>
        </w:rPr>
        <w:t>member states as to the form and content of a possible legally binding inst</w:t>
      </w:r>
      <w:r w:rsidR="0024630C">
        <w:rPr>
          <w:rFonts w:ascii="Arial" w:hAnsi="Arial" w:cs="Arial"/>
          <w:sz w:val="24"/>
          <w:szCs w:val="24"/>
        </w:rPr>
        <w:t xml:space="preserve">rument on the subject. In </w:t>
      </w:r>
      <w:r w:rsidR="0024630C" w:rsidRPr="0024630C">
        <w:rPr>
          <w:rFonts w:ascii="Arial" w:hAnsi="Arial" w:cs="Arial"/>
          <w:sz w:val="24"/>
          <w:szCs w:val="24"/>
        </w:rPr>
        <w:t>1974 the Commission began drafting a convention.</w:t>
      </w:r>
      <w:r w:rsidR="007E321A" w:rsidRPr="007E321A">
        <w:t xml:space="preserve"> </w:t>
      </w:r>
      <w:r w:rsidR="007E321A" w:rsidRPr="007E321A">
        <w:rPr>
          <w:rFonts w:ascii="Arial" w:hAnsi="Arial" w:cs="Arial"/>
          <w:sz w:val="24"/>
          <w:szCs w:val="24"/>
        </w:rPr>
        <w:t>The Convention was ado</w:t>
      </w:r>
      <w:r w:rsidR="007E321A">
        <w:rPr>
          <w:rFonts w:ascii="Arial" w:hAnsi="Arial" w:cs="Arial"/>
          <w:sz w:val="24"/>
          <w:szCs w:val="24"/>
        </w:rPr>
        <w:t xml:space="preserve">pted by the General Assembly in </w:t>
      </w:r>
      <w:r w:rsidR="007E321A" w:rsidRPr="007E321A">
        <w:rPr>
          <w:rFonts w:ascii="Arial" w:hAnsi="Arial" w:cs="Arial"/>
          <w:sz w:val="24"/>
          <w:szCs w:val="24"/>
        </w:rPr>
        <w:t>1979, which is entered i</w:t>
      </w:r>
      <w:r w:rsidR="007D5956">
        <w:rPr>
          <w:rFonts w:ascii="Arial" w:hAnsi="Arial" w:cs="Arial"/>
          <w:sz w:val="24"/>
          <w:szCs w:val="24"/>
        </w:rPr>
        <w:t xml:space="preserve">nto force in 1981, and </w:t>
      </w:r>
      <w:r w:rsidR="007D5956" w:rsidRPr="007D5956">
        <w:rPr>
          <w:rFonts w:ascii="Arial" w:hAnsi="Arial" w:cs="Arial"/>
          <w:sz w:val="24"/>
          <w:szCs w:val="24"/>
        </w:rPr>
        <w:t xml:space="preserve">CEDAW has been ratified or acceded to by 189 States Parties </w:t>
      </w:r>
    </w:p>
    <w:p w:rsidR="007E321A" w:rsidRDefault="007E321A" w:rsidP="007E321A">
      <w:pPr>
        <w:spacing w:line="360" w:lineRule="auto"/>
        <w:rPr>
          <w:rFonts w:ascii="Arial" w:hAnsi="Arial" w:cs="Arial"/>
          <w:sz w:val="24"/>
          <w:szCs w:val="24"/>
        </w:rPr>
      </w:pPr>
      <w:r w:rsidRPr="007E321A">
        <w:rPr>
          <w:rFonts w:ascii="Arial" w:hAnsi="Arial" w:cs="Arial"/>
          <w:sz w:val="24"/>
          <w:szCs w:val="24"/>
        </w:rPr>
        <w:t xml:space="preserve">The Convention consists of 30 Articles, of which the first </w:t>
      </w:r>
      <w:r w:rsidRPr="008D029E">
        <w:rPr>
          <w:rFonts w:ascii="Arial" w:hAnsi="Arial" w:cs="Arial"/>
          <w:b/>
          <w:sz w:val="24"/>
          <w:szCs w:val="24"/>
        </w:rPr>
        <w:t>16</w:t>
      </w:r>
      <w:r w:rsidR="008D029E" w:rsidRPr="008D029E">
        <w:rPr>
          <w:rFonts w:ascii="Arial" w:hAnsi="Arial" w:cs="Arial"/>
          <w:b/>
          <w:sz w:val="24"/>
          <w:szCs w:val="24"/>
        </w:rPr>
        <w:t xml:space="preserve"> articles</w:t>
      </w:r>
      <w:r w:rsidRPr="007E321A">
        <w:rPr>
          <w:rFonts w:ascii="Arial" w:hAnsi="Arial" w:cs="Arial"/>
          <w:sz w:val="24"/>
          <w:szCs w:val="24"/>
        </w:rPr>
        <w:t xml:space="preserve"> are of a normative character.</w:t>
      </w:r>
      <w:r>
        <w:t xml:space="preserve"> </w:t>
      </w:r>
      <w:r w:rsidR="008D029E" w:rsidRPr="008D029E">
        <w:rPr>
          <w:rFonts w:ascii="Arial" w:hAnsi="Arial" w:cs="Arial"/>
          <w:sz w:val="24"/>
          <w:szCs w:val="24"/>
        </w:rPr>
        <w:t>By becoming a state party to the CEDA</w:t>
      </w:r>
      <w:r w:rsidR="00D23F29">
        <w:rPr>
          <w:rFonts w:ascii="Arial" w:hAnsi="Arial" w:cs="Arial"/>
          <w:sz w:val="24"/>
          <w:szCs w:val="24"/>
        </w:rPr>
        <w:t>W</w:t>
      </w:r>
      <w:r w:rsidR="008D029E" w:rsidRPr="008D029E">
        <w:rPr>
          <w:rFonts w:ascii="Arial" w:hAnsi="Arial" w:cs="Arial"/>
          <w:sz w:val="24"/>
          <w:szCs w:val="24"/>
        </w:rPr>
        <w:t xml:space="preserve">, states are obligated to take all appropriate measures to eliminate discrimination against women and advance gender equality The content of these obligations, set out in </w:t>
      </w:r>
      <w:r w:rsidR="008D029E" w:rsidRPr="008D029E">
        <w:rPr>
          <w:rFonts w:ascii="Arial" w:hAnsi="Arial" w:cs="Arial"/>
          <w:b/>
          <w:sz w:val="24"/>
          <w:szCs w:val="24"/>
        </w:rPr>
        <w:t>Articles 2 to 5</w:t>
      </w:r>
      <w:r w:rsidR="008D029E" w:rsidRPr="008D029E">
        <w:rPr>
          <w:rFonts w:ascii="Arial" w:hAnsi="Arial" w:cs="Arial"/>
          <w:sz w:val="24"/>
          <w:szCs w:val="24"/>
        </w:rPr>
        <w:t xml:space="preserve"> of the Convention, is not open to alteration by individual governments or organizations.</w:t>
      </w:r>
      <w:r w:rsidR="00026DB2">
        <w:rPr>
          <w:rFonts w:ascii="Arial" w:hAnsi="Arial" w:cs="Arial"/>
          <w:sz w:val="24"/>
          <w:szCs w:val="24"/>
        </w:rPr>
        <w:t xml:space="preserve"> </w:t>
      </w:r>
      <w:r w:rsidR="00026DB2" w:rsidRPr="00026DB2">
        <w:rPr>
          <w:rFonts w:ascii="Arial" w:hAnsi="Arial" w:cs="Arial"/>
          <w:sz w:val="24"/>
          <w:szCs w:val="24"/>
        </w:rPr>
        <w:t xml:space="preserve">Under </w:t>
      </w:r>
      <w:r w:rsidR="00026DB2" w:rsidRPr="00026DB2">
        <w:rPr>
          <w:rFonts w:ascii="Arial" w:hAnsi="Arial" w:cs="Arial"/>
          <w:b/>
          <w:sz w:val="24"/>
          <w:szCs w:val="24"/>
        </w:rPr>
        <w:t>articles 6 to 16</w:t>
      </w:r>
      <w:r w:rsidR="008D029E" w:rsidRPr="00026DB2">
        <w:rPr>
          <w:rFonts w:ascii="Arial" w:hAnsi="Arial" w:cs="Arial"/>
          <w:sz w:val="24"/>
          <w:szCs w:val="24"/>
        </w:rPr>
        <w:t xml:space="preserve"> </w:t>
      </w:r>
      <w:r w:rsidR="00026DB2" w:rsidRPr="00026DB2">
        <w:rPr>
          <w:rFonts w:ascii="Arial" w:hAnsi="Arial" w:cs="Arial"/>
          <w:sz w:val="24"/>
          <w:szCs w:val="24"/>
        </w:rPr>
        <w:t xml:space="preserve">it covers the spectrum of human rights across the lifespan of women and girls, from education to employment to health, from political participation to family life, from issues such as trafficking to the situation of rural women, and from laws to policy measures. </w:t>
      </w:r>
      <w:r>
        <w:rPr>
          <w:rFonts w:ascii="Arial" w:hAnsi="Arial" w:cs="Arial"/>
          <w:sz w:val="24"/>
          <w:szCs w:val="24"/>
        </w:rPr>
        <w:t xml:space="preserve">The definition </w:t>
      </w:r>
      <w:r w:rsidRPr="007E321A">
        <w:rPr>
          <w:rFonts w:ascii="Arial" w:hAnsi="Arial" w:cs="Arial"/>
          <w:sz w:val="24"/>
          <w:szCs w:val="24"/>
        </w:rPr>
        <w:t>of discrimination against women, contained in the first article, is m</w:t>
      </w:r>
      <w:r>
        <w:rPr>
          <w:rFonts w:ascii="Arial" w:hAnsi="Arial" w:cs="Arial"/>
          <w:sz w:val="24"/>
          <w:szCs w:val="24"/>
        </w:rPr>
        <w:t xml:space="preserve">ore detailed than in many other </w:t>
      </w:r>
      <w:r w:rsidRPr="007E321A">
        <w:rPr>
          <w:rFonts w:ascii="Arial" w:hAnsi="Arial" w:cs="Arial"/>
          <w:sz w:val="24"/>
          <w:szCs w:val="24"/>
        </w:rPr>
        <w:t>discrimination clauses</w:t>
      </w:r>
      <w:r>
        <w:rPr>
          <w:rFonts w:ascii="Arial" w:hAnsi="Arial" w:cs="Arial"/>
          <w:sz w:val="24"/>
          <w:szCs w:val="24"/>
        </w:rPr>
        <w:t>.</w:t>
      </w:r>
      <w:r w:rsidRPr="007E321A">
        <w:t xml:space="preserve"> </w:t>
      </w:r>
      <w:r w:rsidRPr="007E321A">
        <w:rPr>
          <w:rFonts w:ascii="Arial" w:hAnsi="Arial" w:cs="Arial"/>
          <w:sz w:val="24"/>
          <w:szCs w:val="24"/>
        </w:rPr>
        <w:t xml:space="preserve">In both its definition and in other provisions the convention on the elimination of All Forms of Discrimination </w:t>
      </w:r>
      <w:r w:rsidR="003D07FB" w:rsidRPr="007E321A">
        <w:rPr>
          <w:rFonts w:ascii="Arial" w:hAnsi="Arial" w:cs="Arial"/>
          <w:sz w:val="24"/>
          <w:szCs w:val="24"/>
        </w:rPr>
        <w:t>against</w:t>
      </w:r>
      <w:r w:rsidRPr="007E321A">
        <w:rPr>
          <w:rFonts w:ascii="Arial" w:hAnsi="Arial" w:cs="Arial"/>
          <w:sz w:val="24"/>
          <w:szCs w:val="24"/>
        </w:rPr>
        <w:t xml:space="preserve"> Women (Article 18 of the Convention) reflects the depth of exclusion and restriction practiced against women because of their sex. It identifies many areas where there have been a notorious discrimination against women; for example in regard to political and civil rights, economic rights and employment. It calls for equal rights for women, regardless of their marital status. It calls for national legislation to ban discrimination. It allows for temporary special measures to accelerate the achievement of equality between men and women. The Convention recognizes that, even if women’s equality is guaranteed by law and special measures taken in order to promote a</w:t>
      </w:r>
      <w:r w:rsidR="00E76608">
        <w:rPr>
          <w:rFonts w:ascii="Arial" w:hAnsi="Arial" w:cs="Arial"/>
          <w:sz w:val="24"/>
          <w:szCs w:val="24"/>
        </w:rPr>
        <w:t xml:space="preserve"> </w:t>
      </w:r>
      <w:r w:rsidRPr="007E321A">
        <w:rPr>
          <w:rFonts w:ascii="Arial" w:hAnsi="Arial" w:cs="Arial"/>
          <w:sz w:val="24"/>
          <w:szCs w:val="24"/>
        </w:rPr>
        <w:t>de facto equally, there is still a necessity to take measures to remove the social, cultural and traditional patterns which perpetuate gender-role stereotypes and to create an overall framework in society that promotes the equal rights and responsibilities between men and women, including shared responsibilities in the domestic sphere.</w:t>
      </w:r>
    </w:p>
    <w:p w:rsidR="006A7F0B" w:rsidRDefault="006A7F0B" w:rsidP="007E321A">
      <w:pPr>
        <w:spacing w:line="360" w:lineRule="auto"/>
        <w:rPr>
          <w:rFonts w:ascii="Arial" w:hAnsi="Arial" w:cs="Arial"/>
          <w:sz w:val="24"/>
          <w:szCs w:val="24"/>
        </w:rPr>
      </w:pPr>
      <w:r w:rsidRPr="006A7F0B">
        <w:rPr>
          <w:rFonts w:ascii="Arial" w:hAnsi="Arial" w:cs="Arial"/>
          <w:sz w:val="24"/>
          <w:szCs w:val="24"/>
        </w:rPr>
        <w:t>The Convention provides for equal rights of women in political and public life, equal access to education and employment, equality</w:t>
      </w:r>
      <w:r w:rsidR="00C42AE5">
        <w:rPr>
          <w:rFonts w:ascii="Arial" w:hAnsi="Arial" w:cs="Arial"/>
          <w:sz w:val="24"/>
          <w:szCs w:val="24"/>
        </w:rPr>
        <w:t xml:space="preserve"> in access to health facilities</w:t>
      </w:r>
      <w:r w:rsidRPr="006A7F0B">
        <w:rPr>
          <w:rFonts w:ascii="Arial" w:hAnsi="Arial" w:cs="Arial"/>
          <w:sz w:val="24"/>
          <w:szCs w:val="24"/>
        </w:rPr>
        <w:t xml:space="preserve"> and an end to discrimination in the field of finance and areas of economic and social rights. The Convention also stresses the need to eliminate discrimination in all matters relating to marriage and family related matters and stresses the social services needed especially childcare facilities for a full participation of women in public life</w:t>
      </w:r>
      <w:r w:rsidR="007E64E4">
        <w:rPr>
          <w:rFonts w:ascii="Arial" w:hAnsi="Arial" w:cs="Arial"/>
          <w:sz w:val="24"/>
          <w:szCs w:val="24"/>
        </w:rPr>
        <w:t xml:space="preserve">. </w:t>
      </w:r>
      <w:r w:rsidR="007E64E4" w:rsidRPr="007E64E4">
        <w:rPr>
          <w:rFonts w:ascii="Arial" w:hAnsi="Arial" w:cs="Arial"/>
          <w:sz w:val="24"/>
          <w:szCs w:val="24"/>
        </w:rPr>
        <w:t>The issues of gender-based violence are not specifically addressed in the convention. The committee set up under the convention has also addressed this subject in its General Recommendation of Article 19, in which it formally extends the general prohibition on gender-based discrimination to include gender based violence.</w:t>
      </w:r>
    </w:p>
    <w:p w:rsidR="00FC132A" w:rsidRPr="00FC132A" w:rsidRDefault="00FC132A" w:rsidP="00775486">
      <w:pPr>
        <w:spacing w:line="360" w:lineRule="auto"/>
        <w:rPr>
          <w:rFonts w:ascii="Arial" w:hAnsi="Arial" w:cs="Arial"/>
          <w:b/>
          <w:sz w:val="24"/>
          <w:szCs w:val="24"/>
          <w:u w:val="single"/>
        </w:rPr>
      </w:pPr>
      <w:r w:rsidRPr="00FC132A">
        <w:rPr>
          <w:rFonts w:ascii="Arial" w:hAnsi="Arial" w:cs="Arial"/>
          <w:b/>
          <w:sz w:val="24"/>
          <w:szCs w:val="24"/>
          <w:u w:val="single"/>
        </w:rPr>
        <w:t>Monitoring the CEDAW</w:t>
      </w:r>
    </w:p>
    <w:p w:rsidR="00226054" w:rsidRDefault="00226054" w:rsidP="00775486">
      <w:pPr>
        <w:spacing w:line="360" w:lineRule="auto"/>
        <w:rPr>
          <w:rFonts w:ascii="Arial" w:hAnsi="Arial" w:cs="Arial"/>
          <w:sz w:val="24"/>
          <w:szCs w:val="24"/>
        </w:rPr>
      </w:pPr>
      <w:r w:rsidRPr="00226054">
        <w:rPr>
          <w:rFonts w:ascii="Arial" w:hAnsi="Arial" w:cs="Arial"/>
          <w:sz w:val="24"/>
          <w:szCs w:val="24"/>
        </w:rPr>
        <w:t xml:space="preserve">The Convention establishes a </w:t>
      </w:r>
      <w:r w:rsidRPr="003454A7">
        <w:rPr>
          <w:rFonts w:ascii="Arial" w:hAnsi="Arial" w:cs="Arial"/>
          <w:b/>
          <w:sz w:val="24"/>
          <w:szCs w:val="24"/>
        </w:rPr>
        <w:t xml:space="preserve">Committee on the Elimination of Discrimination against Women </w:t>
      </w:r>
      <w:r>
        <w:rPr>
          <w:rFonts w:ascii="Arial" w:hAnsi="Arial" w:cs="Arial"/>
          <w:sz w:val="24"/>
          <w:szCs w:val="24"/>
        </w:rPr>
        <w:t xml:space="preserve">consisting </w:t>
      </w:r>
      <w:r w:rsidRPr="00226054">
        <w:rPr>
          <w:rFonts w:ascii="Arial" w:hAnsi="Arial" w:cs="Arial"/>
          <w:sz w:val="24"/>
          <w:szCs w:val="24"/>
        </w:rPr>
        <w:t>of 23 members nominated and elected by states parties but serving in their personal capacity</w:t>
      </w:r>
      <w:r w:rsidR="007D5956">
        <w:rPr>
          <w:rFonts w:ascii="Arial" w:hAnsi="Arial" w:cs="Arial"/>
          <w:sz w:val="24"/>
          <w:szCs w:val="24"/>
        </w:rPr>
        <w:t>.</w:t>
      </w:r>
      <w:r w:rsidR="00775486" w:rsidRPr="00775486">
        <w:t xml:space="preserve"> </w:t>
      </w:r>
      <w:r w:rsidR="00775486" w:rsidRPr="00775486">
        <w:rPr>
          <w:rFonts w:ascii="Arial" w:hAnsi="Arial" w:cs="Arial"/>
          <w:sz w:val="24"/>
          <w:szCs w:val="24"/>
        </w:rPr>
        <w:t>The Committee membership</w:t>
      </w:r>
      <w:r w:rsidR="00775486">
        <w:rPr>
          <w:rFonts w:ascii="Arial" w:hAnsi="Arial" w:cs="Arial"/>
          <w:sz w:val="24"/>
          <w:szCs w:val="24"/>
        </w:rPr>
        <w:t xml:space="preserve"> is regionally representative. Their terms last four years.</w:t>
      </w:r>
      <w:r w:rsidR="00775486" w:rsidRPr="00775486">
        <w:rPr>
          <w:rFonts w:ascii="Arial" w:hAnsi="Arial" w:cs="Arial"/>
          <w:sz w:val="24"/>
          <w:szCs w:val="24"/>
        </w:rPr>
        <w:t xml:space="preserve"> The Committee is responsible for reviewing each State party’s progress, as well as the challenges they are experiencing </w:t>
      </w:r>
      <w:r w:rsidR="00775486">
        <w:rPr>
          <w:rFonts w:ascii="Arial" w:hAnsi="Arial" w:cs="Arial"/>
          <w:sz w:val="24"/>
          <w:szCs w:val="24"/>
        </w:rPr>
        <w:t xml:space="preserve">in implementing the Convention. </w:t>
      </w:r>
      <w:r w:rsidR="00775486" w:rsidRPr="00775486">
        <w:rPr>
          <w:rFonts w:ascii="Arial" w:hAnsi="Arial" w:cs="Arial"/>
          <w:sz w:val="24"/>
          <w:szCs w:val="24"/>
        </w:rPr>
        <w:t>States that are parties to CEDAW must submit regular reports to the CEDAW Committee, typically at four-yearly intervals.</w:t>
      </w:r>
    </w:p>
    <w:p w:rsidR="00827903" w:rsidRPr="00827903" w:rsidRDefault="00827903" w:rsidP="00827903">
      <w:pPr>
        <w:spacing w:line="360" w:lineRule="auto"/>
        <w:rPr>
          <w:rFonts w:ascii="Arial" w:hAnsi="Arial" w:cs="Arial"/>
          <w:sz w:val="24"/>
          <w:szCs w:val="24"/>
        </w:rPr>
      </w:pPr>
      <w:r w:rsidRPr="00827903">
        <w:rPr>
          <w:rFonts w:ascii="Arial" w:hAnsi="Arial" w:cs="Arial"/>
          <w:sz w:val="24"/>
          <w:szCs w:val="24"/>
        </w:rPr>
        <w:t xml:space="preserve">On 12 March 1999 an Optional Protocol was added to CEDAW. This Protocol contains two procedures: </w:t>
      </w:r>
    </w:p>
    <w:p w:rsidR="00827903" w:rsidRPr="00827903" w:rsidRDefault="00827903" w:rsidP="00827903">
      <w:pPr>
        <w:spacing w:line="360" w:lineRule="auto"/>
        <w:rPr>
          <w:rFonts w:ascii="Arial" w:hAnsi="Arial" w:cs="Arial"/>
          <w:sz w:val="24"/>
          <w:szCs w:val="24"/>
        </w:rPr>
      </w:pPr>
      <w:r w:rsidRPr="00827903">
        <w:rPr>
          <w:rFonts w:ascii="Arial" w:hAnsi="Arial" w:cs="Arial"/>
          <w:sz w:val="24"/>
          <w:szCs w:val="24"/>
        </w:rPr>
        <w:t xml:space="preserve">1) A communications procedure allowing individual women or groups of women, to submit claims of violations of rights to the Committee on the Elimination of Discrimination against Women; </w:t>
      </w:r>
    </w:p>
    <w:p w:rsidR="00827903" w:rsidRDefault="00827903" w:rsidP="00827903">
      <w:pPr>
        <w:spacing w:line="360" w:lineRule="auto"/>
        <w:rPr>
          <w:rFonts w:ascii="Arial" w:hAnsi="Arial" w:cs="Arial"/>
          <w:sz w:val="24"/>
          <w:szCs w:val="24"/>
        </w:rPr>
      </w:pPr>
      <w:r w:rsidRPr="00827903">
        <w:rPr>
          <w:rFonts w:ascii="Arial" w:hAnsi="Arial" w:cs="Arial"/>
          <w:sz w:val="24"/>
          <w:szCs w:val="24"/>
        </w:rPr>
        <w:t>2) An inquiry procedure enabling the CEDAW Committee to initiate inquiries into situations of grave or systematic violations of women’s rights. In either case, States must be party to the Protocol. Ninety-nine countries have ratified the Optional Protocol.</w:t>
      </w:r>
    </w:p>
    <w:p w:rsidR="00525EDA" w:rsidRPr="00525EDA" w:rsidRDefault="00525EDA" w:rsidP="00775486">
      <w:pPr>
        <w:spacing w:line="360" w:lineRule="auto"/>
        <w:rPr>
          <w:rFonts w:ascii="Arial" w:hAnsi="Arial" w:cs="Arial"/>
          <w:b/>
          <w:sz w:val="24"/>
          <w:szCs w:val="24"/>
          <w:u w:val="single"/>
        </w:rPr>
      </w:pPr>
      <w:r w:rsidRPr="00525EDA">
        <w:rPr>
          <w:rFonts w:ascii="Arial" w:hAnsi="Arial" w:cs="Arial"/>
          <w:b/>
          <w:sz w:val="24"/>
          <w:szCs w:val="24"/>
          <w:u w:val="single"/>
        </w:rPr>
        <w:t>Foundational principles of the convention</w:t>
      </w:r>
    </w:p>
    <w:p w:rsidR="00525EDA" w:rsidRPr="00525EDA" w:rsidRDefault="00525EDA" w:rsidP="00525EDA">
      <w:pPr>
        <w:spacing w:line="360" w:lineRule="auto"/>
        <w:rPr>
          <w:rFonts w:ascii="Arial" w:hAnsi="Arial" w:cs="Arial"/>
          <w:b/>
          <w:sz w:val="24"/>
          <w:szCs w:val="24"/>
        </w:rPr>
      </w:pPr>
      <w:r w:rsidRPr="00525EDA">
        <w:rPr>
          <w:rFonts w:ascii="Arial" w:hAnsi="Arial" w:cs="Arial"/>
          <w:sz w:val="24"/>
          <w:szCs w:val="24"/>
        </w:rPr>
        <w:t xml:space="preserve">The CEDAW Convention is built on three foundational principles: </w:t>
      </w:r>
      <w:r w:rsidRPr="00525EDA">
        <w:rPr>
          <w:rFonts w:ascii="Arial" w:hAnsi="Arial" w:cs="Arial"/>
          <w:b/>
          <w:sz w:val="24"/>
          <w:szCs w:val="24"/>
        </w:rPr>
        <w:t xml:space="preserve">non-discrimination, state obligation and substantive equality. </w:t>
      </w:r>
    </w:p>
    <w:p w:rsidR="00654FFB" w:rsidRPr="00654FFB" w:rsidRDefault="00525EDA" w:rsidP="00654FFB">
      <w:pPr>
        <w:spacing w:line="360" w:lineRule="auto"/>
        <w:rPr>
          <w:rFonts w:ascii="Arial" w:hAnsi="Arial" w:cs="Arial"/>
          <w:sz w:val="24"/>
          <w:szCs w:val="24"/>
        </w:rPr>
      </w:pPr>
      <w:r w:rsidRPr="00525EDA">
        <w:rPr>
          <w:rFonts w:ascii="Arial" w:hAnsi="Arial" w:cs="Arial"/>
          <w:b/>
          <w:sz w:val="24"/>
          <w:szCs w:val="24"/>
        </w:rPr>
        <w:t>Non-discrimination</w:t>
      </w:r>
      <w:r w:rsidRPr="00525EDA">
        <w:rPr>
          <w:rFonts w:ascii="Arial" w:hAnsi="Arial" w:cs="Arial"/>
          <w:sz w:val="24"/>
          <w:szCs w:val="24"/>
        </w:rPr>
        <w:t xml:space="preserve"> is integral to the concept of equality. The Convention seeks to eliminate discrimination against women in all fields and spheres, and holds both state and non-state actors in the case of violation of rights.</w:t>
      </w:r>
      <w:r w:rsidR="006D1F5A" w:rsidRPr="006D1F5A">
        <w:t xml:space="preserve"> </w:t>
      </w:r>
      <w:r w:rsidR="006D1F5A" w:rsidRPr="006D1F5A">
        <w:rPr>
          <w:rFonts w:ascii="Arial" w:hAnsi="Arial" w:cs="Arial"/>
          <w:sz w:val="24"/>
          <w:szCs w:val="24"/>
        </w:rPr>
        <w:t>The principle of non-discrimination is based on the understanding that discrimination is socially constructed rather than “natural”. This recognises the need and paves the way for concerted action against inequality and the institutional mechanisms which perpetuate it.</w:t>
      </w:r>
      <w:r w:rsidR="00654FFB" w:rsidRPr="00654FFB">
        <w:t xml:space="preserve"> </w:t>
      </w:r>
      <w:r w:rsidR="00654FFB" w:rsidRPr="00654FFB">
        <w:rPr>
          <w:rFonts w:ascii="Arial" w:hAnsi="Arial" w:cs="Arial"/>
          <w:sz w:val="24"/>
          <w:szCs w:val="24"/>
        </w:rPr>
        <w:t xml:space="preserve">The definition of discrimination in </w:t>
      </w:r>
      <w:r w:rsidR="00654FFB" w:rsidRPr="00654FFB">
        <w:rPr>
          <w:rFonts w:ascii="Arial" w:hAnsi="Arial" w:cs="Arial"/>
          <w:b/>
          <w:sz w:val="24"/>
          <w:szCs w:val="24"/>
        </w:rPr>
        <w:t>Article 1</w:t>
      </w:r>
      <w:r w:rsidR="00654FFB">
        <w:rPr>
          <w:rFonts w:ascii="Arial" w:hAnsi="Arial" w:cs="Arial"/>
          <w:sz w:val="24"/>
          <w:szCs w:val="24"/>
        </w:rPr>
        <w:t xml:space="preserve"> of CEDAW can be summarised as:</w:t>
      </w:r>
    </w:p>
    <w:p w:rsidR="00654FFB" w:rsidRPr="00654FFB" w:rsidRDefault="00654FFB" w:rsidP="00654FFB">
      <w:pPr>
        <w:spacing w:line="360" w:lineRule="auto"/>
        <w:rPr>
          <w:rFonts w:ascii="Arial" w:hAnsi="Arial" w:cs="Arial"/>
          <w:b/>
          <w:sz w:val="24"/>
          <w:szCs w:val="24"/>
        </w:rPr>
      </w:pPr>
      <w:r w:rsidRPr="00654FFB">
        <w:rPr>
          <w:rFonts w:ascii="Arial" w:hAnsi="Arial" w:cs="Arial"/>
          <w:b/>
          <w:sz w:val="24"/>
          <w:szCs w:val="24"/>
        </w:rPr>
        <w:t>Any act of distinction, exclusion or distinction which has the intent/purpose or effect of nullifying, impairing or denying the enjoyment of rights by women.</w:t>
      </w:r>
    </w:p>
    <w:p w:rsidR="00525EDA" w:rsidRPr="00525EDA" w:rsidRDefault="00654FFB" w:rsidP="00654FFB">
      <w:pPr>
        <w:spacing w:line="360" w:lineRule="auto"/>
        <w:rPr>
          <w:rFonts w:ascii="Arial" w:hAnsi="Arial" w:cs="Arial"/>
          <w:sz w:val="24"/>
          <w:szCs w:val="24"/>
        </w:rPr>
      </w:pPr>
      <w:r w:rsidRPr="00654FFB">
        <w:rPr>
          <w:rFonts w:ascii="Arial" w:hAnsi="Arial" w:cs="Arial"/>
          <w:sz w:val="24"/>
          <w:szCs w:val="24"/>
        </w:rPr>
        <w:t>This definition helps us identify the weaknesses of formal or so-called neutral laws and policies because they do not recognise that women continue to suffer from the effect of past or historic discrimination. A law or policy may not have the intention of denying a woman the enjoyment of rights but if it has the effect of doing so then it constitutes discrimination.</w:t>
      </w:r>
    </w:p>
    <w:p w:rsidR="00DA7A5E" w:rsidRPr="00DA7A5E" w:rsidRDefault="00525EDA" w:rsidP="00DA7A5E">
      <w:pPr>
        <w:spacing w:line="360" w:lineRule="auto"/>
        <w:rPr>
          <w:rFonts w:ascii="Arial" w:hAnsi="Arial" w:cs="Arial"/>
          <w:sz w:val="24"/>
          <w:szCs w:val="24"/>
        </w:rPr>
      </w:pPr>
      <w:r w:rsidRPr="00525EDA">
        <w:rPr>
          <w:rFonts w:ascii="Arial" w:hAnsi="Arial" w:cs="Arial"/>
          <w:b/>
          <w:sz w:val="24"/>
          <w:szCs w:val="24"/>
        </w:rPr>
        <w:t>State obligation</w:t>
      </w:r>
      <w:r w:rsidRPr="00525EDA">
        <w:rPr>
          <w:rFonts w:ascii="Arial" w:hAnsi="Arial" w:cs="Arial"/>
          <w:sz w:val="24"/>
          <w:szCs w:val="24"/>
        </w:rPr>
        <w:t xml:space="preserve"> embodies the elements, that is, respect, protection, promotion, and fulfillment of human rights. </w:t>
      </w:r>
      <w:r w:rsidR="00DA7A5E" w:rsidRPr="00DA7A5E">
        <w:rPr>
          <w:rFonts w:ascii="Arial" w:hAnsi="Arial" w:cs="Arial"/>
          <w:sz w:val="24"/>
          <w:szCs w:val="24"/>
        </w:rPr>
        <w:t xml:space="preserve">By becoming a party to CEDAW, a State is legally obliged to take all appropriate measures to eliminate discrimination against women and advance gender equality. The content of these obligations, set out in </w:t>
      </w:r>
      <w:r w:rsidR="00DA7A5E" w:rsidRPr="00815938">
        <w:rPr>
          <w:rFonts w:ascii="Arial" w:hAnsi="Arial" w:cs="Arial"/>
          <w:b/>
          <w:sz w:val="24"/>
          <w:szCs w:val="24"/>
        </w:rPr>
        <w:t xml:space="preserve">Articles 2 to 5 </w:t>
      </w:r>
      <w:r w:rsidR="00DA7A5E" w:rsidRPr="00DA7A5E">
        <w:rPr>
          <w:rFonts w:ascii="Arial" w:hAnsi="Arial" w:cs="Arial"/>
          <w:sz w:val="24"/>
          <w:szCs w:val="24"/>
        </w:rPr>
        <w:t>of the Convention, is not open to alteration by individua</w:t>
      </w:r>
      <w:r w:rsidR="00815938">
        <w:rPr>
          <w:rFonts w:ascii="Arial" w:hAnsi="Arial" w:cs="Arial"/>
          <w:sz w:val="24"/>
          <w:szCs w:val="24"/>
        </w:rPr>
        <w:t>l governments or organizations.</w:t>
      </w:r>
    </w:p>
    <w:p w:rsidR="00DA7A5E" w:rsidRPr="00DA7A5E" w:rsidRDefault="00DA7A5E" w:rsidP="00DA7A5E">
      <w:pPr>
        <w:spacing w:line="360" w:lineRule="auto"/>
        <w:rPr>
          <w:rFonts w:ascii="Arial" w:hAnsi="Arial" w:cs="Arial"/>
          <w:sz w:val="24"/>
          <w:szCs w:val="24"/>
        </w:rPr>
      </w:pPr>
      <w:r w:rsidRPr="00DA7A5E">
        <w:rPr>
          <w:rFonts w:ascii="Arial" w:hAnsi="Arial" w:cs="Arial"/>
          <w:sz w:val="24"/>
          <w:szCs w:val="24"/>
        </w:rPr>
        <w:t xml:space="preserve"> Importantly, Article 2 makes clear that the State not only has the obligation not to discriminate through its own actions, but also to prevent and eliminate discrimination that is perpetrated by private</w:t>
      </w:r>
      <w:r w:rsidR="00667A6E">
        <w:rPr>
          <w:rFonts w:ascii="Arial" w:hAnsi="Arial" w:cs="Arial"/>
          <w:sz w:val="24"/>
          <w:szCs w:val="24"/>
        </w:rPr>
        <w:t xml:space="preserve"> individuals and organizations.</w:t>
      </w:r>
    </w:p>
    <w:p w:rsidR="007E4655" w:rsidRDefault="00DA7A5E" w:rsidP="00667A6E">
      <w:pPr>
        <w:spacing w:line="360" w:lineRule="auto"/>
        <w:rPr>
          <w:rFonts w:ascii="Arial" w:hAnsi="Arial" w:cs="Arial"/>
          <w:sz w:val="24"/>
          <w:szCs w:val="24"/>
        </w:rPr>
      </w:pPr>
      <w:r w:rsidRPr="00DA7A5E">
        <w:rPr>
          <w:rFonts w:ascii="Arial" w:hAnsi="Arial" w:cs="Arial"/>
          <w:sz w:val="24"/>
          <w:szCs w:val="24"/>
        </w:rPr>
        <w:t xml:space="preserve"> The State’s obligations extend to private life as well as public life. Article 16 provides that States must eliminate discrimination against women in marriage and family life, areas considered by many countries to fall within the private sphere. Historically, one of the biggest obstacles to realizing women’s rights in many countries has been the perception that the State should not interfere in the private realm of family relations. CEDAW recognizes that unequal power relations within the private sphere contribute very significantly to gender inequality in all aspects of women’s lives, and it directs States to take measures to correct this power imbalance.</w:t>
      </w:r>
      <w:r w:rsidR="00525EDA" w:rsidRPr="00525EDA">
        <w:rPr>
          <w:rFonts w:ascii="Arial" w:hAnsi="Arial" w:cs="Arial"/>
          <w:sz w:val="24"/>
          <w:szCs w:val="24"/>
        </w:rPr>
        <w:t xml:space="preserve"> </w:t>
      </w:r>
    </w:p>
    <w:p w:rsidR="00525EDA" w:rsidRDefault="00667A6E" w:rsidP="00667A6E">
      <w:pPr>
        <w:spacing w:line="360" w:lineRule="auto"/>
        <w:rPr>
          <w:rFonts w:ascii="Arial" w:hAnsi="Arial" w:cs="Arial"/>
          <w:sz w:val="24"/>
          <w:szCs w:val="24"/>
        </w:rPr>
      </w:pPr>
      <w:r w:rsidRPr="00667A6E">
        <w:rPr>
          <w:rFonts w:ascii="Arial" w:hAnsi="Arial" w:cs="Arial"/>
          <w:sz w:val="24"/>
          <w:szCs w:val="24"/>
        </w:rPr>
        <w:t>In cases where the long-term effects of discrimination have seriously disadvantaged women, this may require measures that give women not just formally equal treatment to men, but preferential treatment, in order to create actual equality for women</w:t>
      </w:r>
      <w:r>
        <w:rPr>
          <w:rFonts w:ascii="Arial" w:hAnsi="Arial" w:cs="Arial"/>
          <w:sz w:val="24"/>
          <w:szCs w:val="24"/>
        </w:rPr>
        <w:t>.</w:t>
      </w:r>
      <w:r w:rsidRPr="00667A6E">
        <w:rPr>
          <w:rFonts w:ascii="Arial" w:hAnsi="Arial" w:cs="Arial"/>
          <w:sz w:val="24"/>
          <w:szCs w:val="24"/>
        </w:rPr>
        <w:t xml:space="preserve"> Article 4, paragraph 1, directs States to take temporary special measures as may be required for a period of time, to speed up the achievement of women’s de facto or substantive equality with men, and to effect the structural, social and cultural changes necessary to correct past and current forms of discrimination against women.</w:t>
      </w:r>
      <w:r w:rsidR="007E4655" w:rsidRPr="007E4655">
        <w:t xml:space="preserve"> </w:t>
      </w:r>
      <w:r w:rsidR="007E4655" w:rsidRPr="007E4655">
        <w:rPr>
          <w:rFonts w:ascii="Arial" w:hAnsi="Arial" w:cs="Arial"/>
          <w:sz w:val="24"/>
          <w:szCs w:val="24"/>
        </w:rPr>
        <w:t>Temporary special measures can include a wide range of legislative, executive, administrative and other regulatory instruments, policies and practices, such as outreach or support programmes; allocation and/or reallocation of resources, preferential treatment; targeted recruitment, hiring and promotion; numerical goals connected with timeframes; and quota systems. The emphasis is on the temporary nature of the measures - their duration is determined by their result in response to a concrete problem, and must be discontinued when the desired result has been achieved and sustained for a period of time.</w:t>
      </w:r>
    </w:p>
    <w:p w:rsidR="004E7915" w:rsidRPr="004E7915" w:rsidRDefault="00525EDA" w:rsidP="004E7915">
      <w:pPr>
        <w:spacing w:line="360" w:lineRule="auto"/>
        <w:rPr>
          <w:rFonts w:ascii="Arial" w:hAnsi="Arial" w:cs="Arial"/>
          <w:sz w:val="24"/>
          <w:szCs w:val="24"/>
        </w:rPr>
      </w:pPr>
      <w:r w:rsidRPr="00525EDA">
        <w:rPr>
          <w:rFonts w:ascii="Arial" w:hAnsi="Arial" w:cs="Arial"/>
          <w:sz w:val="24"/>
          <w:szCs w:val="24"/>
        </w:rPr>
        <w:t xml:space="preserve">The </w:t>
      </w:r>
      <w:r w:rsidRPr="00525EDA">
        <w:rPr>
          <w:rFonts w:ascii="Arial" w:hAnsi="Arial" w:cs="Arial"/>
          <w:b/>
          <w:sz w:val="24"/>
          <w:szCs w:val="24"/>
        </w:rPr>
        <w:t>substantive equality</w:t>
      </w:r>
      <w:r w:rsidRPr="00525EDA">
        <w:rPr>
          <w:rFonts w:ascii="Arial" w:hAnsi="Arial" w:cs="Arial"/>
          <w:sz w:val="24"/>
          <w:szCs w:val="24"/>
        </w:rPr>
        <w:t xml:space="preserve"> approach recognizes that women and men cannot be treated the same, and for equality of results to occur, women and men may need to be treated differently. Thus it recognizes the biological and man-made social differences between women and men</w:t>
      </w:r>
      <w:r w:rsidR="004E7915">
        <w:rPr>
          <w:rFonts w:ascii="Arial" w:hAnsi="Arial" w:cs="Arial"/>
          <w:sz w:val="24"/>
          <w:szCs w:val="24"/>
        </w:rPr>
        <w:t xml:space="preserve">. </w:t>
      </w:r>
      <w:r w:rsidR="004E7915" w:rsidRPr="004E7915">
        <w:rPr>
          <w:rFonts w:ascii="Arial" w:hAnsi="Arial" w:cs="Arial"/>
          <w:sz w:val="24"/>
          <w:szCs w:val="24"/>
        </w:rPr>
        <w:t xml:space="preserve">The formal model of equality prescribes that equality exists where the law treats people the same. However, this formal approach is not nearly comprehensive enough to create conditions of actual equality in women’s lives, because the factors that discriminate against women, and hold them in subordinate positions, extend far beyond the problems posed </w:t>
      </w:r>
      <w:r w:rsidR="004E7915">
        <w:rPr>
          <w:rFonts w:ascii="Arial" w:hAnsi="Arial" w:cs="Arial"/>
          <w:sz w:val="24"/>
          <w:szCs w:val="24"/>
        </w:rPr>
        <w:t>by overtly discriminatory laws.</w:t>
      </w:r>
    </w:p>
    <w:p w:rsidR="00525EDA" w:rsidRDefault="004E7915" w:rsidP="004E7915">
      <w:pPr>
        <w:spacing w:line="360" w:lineRule="auto"/>
        <w:rPr>
          <w:rFonts w:ascii="Arial" w:hAnsi="Arial" w:cs="Arial"/>
          <w:sz w:val="24"/>
          <w:szCs w:val="24"/>
        </w:rPr>
      </w:pPr>
      <w:r w:rsidRPr="004E7915">
        <w:rPr>
          <w:rFonts w:ascii="Arial" w:hAnsi="Arial" w:cs="Arial"/>
          <w:sz w:val="24"/>
          <w:szCs w:val="24"/>
        </w:rPr>
        <w:t>In recognition of this, CEDAW takes a three-dimensional view of equality that it calls ‘substantive equality’. Instead of considering equality only in formal and legalistic terms, and saying that laws and policies ensure equality between men and women simply by being gender-neutral, CEDAW requires that their actual impact and effect also be considered. The substantive model of equality therefore requires using the actual conditions of women’s lives, rather than the wording used in laws, as the true measure of whether equality has been achieved. The State thus must do more than just ensuring that there are no existing laws that directly discriminate against women. It must also take whatever measures are needed to ensure that women actually experience equality in their lives.</w:t>
      </w:r>
    </w:p>
    <w:p w:rsidR="00AA6269" w:rsidRDefault="00AA6269" w:rsidP="00525EDA">
      <w:pPr>
        <w:spacing w:line="360" w:lineRule="auto"/>
        <w:rPr>
          <w:rFonts w:ascii="Arial" w:hAnsi="Arial" w:cs="Arial"/>
          <w:b/>
          <w:sz w:val="24"/>
          <w:szCs w:val="24"/>
          <w:u w:val="single"/>
        </w:rPr>
      </w:pPr>
      <w:r w:rsidRPr="00AA6269">
        <w:rPr>
          <w:rFonts w:ascii="Arial" w:hAnsi="Arial" w:cs="Arial"/>
          <w:b/>
          <w:sz w:val="24"/>
          <w:szCs w:val="24"/>
          <w:u w:val="single"/>
        </w:rPr>
        <w:t>Women’s Rights in Zambia: The Anti-Gender Based Violence Act</w:t>
      </w:r>
    </w:p>
    <w:p w:rsidR="00AA6269" w:rsidRDefault="00DC25CC" w:rsidP="00525EDA">
      <w:pPr>
        <w:spacing w:line="360" w:lineRule="auto"/>
        <w:rPr>
          <w:rFonts w:ascii="Arial" w:hAnsi="Arial" w:cs="Arial"/>
          <w:sz w:val="24"/>
          <w:szCs w:val="24"/>
        </w:rPr>
      </w:pPr>
      <w:r w:rsidRPr="00DC25CC">
        <w:rPr>
          <w:rFonts w:ascii="Arial" w:hAnsi="Arial" w:cs="Arial"/>
          <w:sz w:val="24"/>
          <w:szCs w:val="24"/>
        </w:rPr>
        <w:t>Zambia, gender-based violence and discrimination greatly disadvantage women. Women’s rights in Zambia play an important role in combating poverty and discrimination in the country. Nonprofit and grassroots organizations have stepped in to fight for women’s rights in Zambia. These organizations are working to make Zambia a fairer and equal society for women and girls.</w:t>
      </w:r>
    </w:p>
    <w:p w:rsidR="00857909" w:rsidRDefault="00857909" w:rsidP="00857909">
      <w:pPr>
        <w:spacing w:line="360" w:lineRule="auto"/>
        <w:rPr>
          <w:rFonts w:ascii="Arial" w:hAnsi="Arial" w:cs="Arial"/>
          <w:sz w:val="24"/>
          <w:szCs w:val="24"/>
        </w:rPr>
      </w:pPr>
      <w:r w:rsidRPr="00857909">
        <w:rPr>
          <w:rFonts w:ascii="Arial" w:hAnsi="Arial" w:cs="Arial"/>
          <w:sz w:val="24"/>
          <w:szCs w:val="24"/>
        </w:rPr>
        <w:t>The country has enacted various pieces of legislation to ensure the effective mainstreaming of gender in all</w:t>
      </w:r>
      <w:r>
        <w:rPr>
          <w:rFonts w:ascii="Arial" w:hAnsi="Arial" w:cs="Arial"/>
          <w:sz w:val="24"/>
          <w:szCs w:val="24"/>
        </w:rPr>
        <w:t xml:space="preserve"> sector </w:t>
      </w:r>
      <w:r w:rsidRPr="00857909">
        <w:rPr>
          <w:rFonts w:ascii="Arial" w:hAnsi="Arial" w:cs="Arial"/>
          <w:sz w:val="24"/>
          <w:szCs w:val="24"/>
        </w:rPr>
        <w:t>policies, laws, plans, programmes, projects, and outputs. The aim is to ensure equit</w:t>
      </w:r>
      <w:r>
        <w:rPr>
          <w:rFonts w:ascii="Arial" w:hAnsi="Arial" w:cs="Arial"/>
          <w:sz w:val="24"/>
          <w:szCs w:val="24"/>
        </w:rPr>
        <w:t xml:space="preserve">able distribution and access to </w:t>
      </w:r>
      <w:r w:rsidRPr="00857909">
        <w:rPr>
          <w:rFonts w:ascii="Arial" w:hAnsi="Arial" w:cs="Arial"/>
          <w:sz w:val="24"/>
          <w:szCs w:val="24"/>
        </w:rPr>
        <w:t>national resources among women and men, girls and boys, and people with disabiliti</w:t>
      </w:r>
      <w:r>
        <w:rPr>
          <w:rFonts w:ascii="Arial" w:hAnsi="Arial" w:cs="Arial"/>
          <w:sz w:val="24"/>
          <w:szCs w:val="24"/>
        </w:rPr>
        <w:t xml:space="preserve">es. These pieces of legislation </w:t>
      </w:r>
      <w:r w:rsidRPr="00857909">
        <w:rPr>
          <w:rFonts w:ascii="Arial" w:hAnsi="Arial" w:cs="Arial"/>
          <w:sz w:val="24"/>
          <w:szCs w:val="24"/>
        </w:rPr>
        <w:t>include, among others, the 2016 Constitution of Zambia, Gender Equity and Equal</w:t>
      </w:r>
      <w:r w:rsidR="00191859">
        <w:rPr>
          <w:rFonts w:ascii="Arial" w:hAnsi="Arial" w:cs="Arial"/>
          <w:sz w:val="24"/>
          <w:szCs w:val="24"/>
        </w:rPr>
        <w:t xml:space="preserve">ity Act No. 22 of 2015, and the </w:t>
      </w:r>
      <w:r w:rsidRPr="00857909">
        <w:rPr>
          <w:rFonts w:ascii="Arial" w:hAnsi="Arial" w:cs="Arial"/>
          <w:sz w:val="24"/>
          <w:szCs w:val="24"/>
        </w:rPr>
        <w:t>National Gender Policy.</w:t>
      </w:r>
    </w:p>
    <w:p w:rsidR="00C817A2" w:rsidRDefault="00C817A2" w:rsidP="00857909">
      <w:pPr>
        <w:spacing w:line="360" w:lineRule="auto"/>
        <w:rPr>
          <w:rFonts w:ascii="Arial" w:hAnsi="Arial" w:cs="Arial"/>
          <w:sz w:val="24"/>
          <w:szCs w:val="24"/>
        </w:rPr>
      </w:pPr>
      <w:r w:rsidRPr="00C817A2">
        <w:rPr>
          <w:rFonts w:ascii="Arial" w:hAnsi="Arial" w:cs="Arial"/>
          <w:sz w:val="24"/>
          <w:szCs w:val="24"/>
        </w:rPr>
        <w:t>The Constitution of Zambia Act No. 17 of 1996 provides for fundamental human rights under part III.</w:t>
      </w:r>
      <w:r w:rsidR="003D222E">
        <w:rPr>
          <w:rFonts w:ascii="Arial" w:hAnsi="Arial" w:cs="Arial"/>
          <w:sz w:val="24"/>
          <w:szCs w:val="24"/>
        </w:rPr>
        <w:t xml:space="preserve"> Article 11 of the Constitution</w:t>
      </w:r>
      <w:r w:rsidRPr="00C817A2">
        <w:rPr>
          <w:rFonts w:ascii="Arial" w:hAnsi="Arial" w:cs="Arial"/>
          <w:sz w:val="24"/>
          <w:szCs w:val="24"/>
        </w:rPr>
        <w:t xml:space="preserve"> prohibits discrimination on the grounds of sex and marital status, inter alia; while articles 23(1) and (2) provide the most encompassing statements that can be attributed to gender equality and women’s rights. In article 23(4)(c), however, the guarantees of fundamental rights, given by the right hand, are taken away by the left, as that sub-article excludes the application of ant discriminatory provisions to matters of personal law, tribal customs, and traditional practices</w:t>
      </w:r>
      <w:r w:rsidR="003D222E">
        <w:rPr>
          <w:rFonts w:ascii="Arial" w:hAnsi="Arial" w:cs="Arial"/>
          <w:sz w:val="24"/>
          <w:szCs w:val="24"/>
        </w:rPr>
        <w:t>.</w:t>
      </w:r>
      <w:r w:rsidR="003D222E" w:rsidRPr="003D222E">
        <w:t xml:space="preserve"> </w:t>
      </w:r>
      <w:r w:rsidR="003D222E" w:rsidRPr="003D222E">
        <w:rPr>
          <w:rFonts w:ascii="Arial" w:hAnsi="Arial" w:cs="Arial"/>
          <w:sz w:val="24"/>
          <w:szCs w:val="24"/>
        </w:rPr>
        <w:t>Personal law represents particularly pernicious discrimination against women, because often a man, as head of the family, is endowed with roles that are superior to women. Personal law includes laws related to marriage, divorce, maintenance, custody of children, property rights, and, in many cases, participation in societal affairs</w:t>
      </w:r>
      <w:r w:rsidR="00D370EB">
        <w:rPr>
          <w:rFonts w:ascii="Arial" w:hAnsi="Arial" w:cs="Arial"/>
          <w:sz w:val="24"/>
          <w:szCs w:val="24"/>
        </w:rPr>
        <w:t>.</w:t>
      </w:r>
    </w:p>
    <w:p w:rsidR="00D370EB" w:rsidRPr="00EB3B56" w:rsidRDefault="00D370EB" w:rsidP="00857909">
      <w:pPr>
        <w:spacing w:line="360" w:lineRule="auto"/>
        <w:rPr>
          <w:rFonts w:ascii="Arial" w:hAnsi="Arial" w:cs="Arial"/>
          <w:sz w:val="24"/>
          <w:szCs w:val="24"/>
        </w:rPr>
      </w:pPr>
      <w:r w:rsidRPr="00EB3B56">
        <w:rPr>
          <w:rFonts w:ascii="Arial" w:hAnsi="Arial" w:cs="Arial"/>
          <w:sz w:val="24"/>
          <w:szCs w:val="24"/>
        </w:rPr>
        <w:t xml:space="preserve">There have been some judgments from the Zambian courts which sought to enforce women’s right to equal treatment. In </w:t>
      </w:r>
      <w:r w:rsidRPr="00EB3B56">
        <w:rPr>
          <w:rFonts w:ascii="Arial" w:hAnsi="Arial" w:cs="Arial"/>
          <w:b/>
          <w:sz w:val="24"/>
          <w:szCs w:val="24"/>
          <w:u w:val="single"/>
        </w:rPr>
        <w:t>Nawakwi v Attorney General</w:t>
      </w:r>
      <w:r w:rsidRPr="00EB3B56">
        <w:rPr>
          <w:rFonts w:ascii="Arial" w:hAnsi="Arial" w:cs="Arial"/>
          <w:sz w:val="24"/>
          <w:szCs w:val="24"/>
        </w:rPr>
        <w:t>,</w:t>
      </w:r>
      <w:r w:rsidRPr="00EB3B56">
        <w:rPr>
          <w:rStyle w:val="FootnoteReference"/>
          <w:rFonts w:ascii="Arial" w:hAnsi="Arial" w:cs="Arial"/>
          <w:sz w:val="24"/>
          <w:szCs w:val="24"/>
        </w:rPr>
        <w:footnoteReference w:id="1"/>
      </w:r>
      <w:r w:rsidR="00D06A99" w:rsidRPr="00EB3B56">
        <w:rPr>
          <w:rFonts w:ascii="Arial" w:hAnsi="Arial" w:cs="Arial"/>
          <w:sz w:val="24"/>
          <w:szCs w:val="24"/>
        </w:rPr>
        <w:t xml:space="preserve"> </w:t>
      </w:r>
      <w:r w:rsidRPr="00EB3B56">
        <w:rPr>
          <w:rFonts w:ascii="Arial" w:hAnsi="Arial" w:cs="Arial"/>
          <w:sz w:val="24"/>
          <w:szCs w:val="24"/>
        </w:rPr>
        <w:t xml:space="preserve"> Nawakwi, a single mother, was required to submit forms to the passport office, signed by the father of her children, before the passport office could endorse the children in her passport. She successfully challenged the requirement, because no such requirement existed in the case of a man. Nawakwi relied on the constitutional provision that guaranteed equality of every person in Zambia, regardless of race, place of origin, political opinion, colour, creed, sex, or marital status. The High Court held that a single-parent family headed by a male or female constituted a recognised family unit in Zambian society and that the failure to endorse her children in her passport amounted to unfair discrimination on the ground of sex.</w:t>
      </w:r>
      <w:r w:rsidR="00EB3B56" w:rsidRPr="00EB3B56">
        <w:rPr>
          <w:rFonts w:ascii="Arial" w:hAnsi="Arial" w:cs="Arial"/>
          <w:sz w:val="24"/>
          <w:szCs w:val="24"/>
        </w:rPr>
        <w:t xml:space="preserve"> After evaluating the applicant’s case, the late Musumali CJ, held that discrimination based on gender had to be eliminated from society: </w:t>
      </w:r>
      <w:r w:rsidR="00EB3B56" w:rsidRPr="00EB3B56">
        <w:rPr>
          <w:rFonts w:ascii="Arial" w:hAnsi="Arial" w:cs="Arial"/>
          <w:i/>
          <w:sz w:val="24"/>
          <w:szCs w:val="24"/>
        </w:rPr>
        <w:t>In my considered view it is not at all justified from whatever angle the issue is looked at, for a father to treat himself or to be treated by the institutions of society to be more entitled to the affairs of his child/ren than the mother of that child or those children...</w:t>
      </w:r>
    </w:p>
    <w:p w:rsidR="00D06A99" w:rsidRDefault="00D06A99" w:rsidP="00857909">
      <w:pPr>
        <w:spacing w:line="360" w:lineRule="auto"/>
        <w:rPr>
          <w:rFonts w:ascii="Arial" w:hAnsi="Arial" w:cs="Arial"/>
          <w:sz w:val="24"/>
          <w:szCs w:val="24"/>
        </w:rPr>
      </w:pPr>
      <w:r w:rsidRPr="00EB3B56">
        <w:rPr>
          <w:rFonts w:ascii="Arial" w:hAnsi="Arial" w:cs="Arial"/>
          <w:sz w:val="24"/>
          <w:szCs w:val="24"/>
        </w:rPr>
        <w:t xml:space="preserve">The other landmark decision, also by Musumali J, is </w:t>
      </w:r>
      <w:r w:rsidRPr="00EB3B56">
        <w:rPr>
          <w:rFonts w:ascii="Arial" w:hAnsi="Arial" w:cs="Arial"/>
          <w:b/>
          <w:sz w:val="24"/>
          <w:szCs w:val="24"/>
          <w:u w:val="single"/>
        </w:rPr>
        <w:t>Longwe v Intercontinental Hotel</w:t>
      </w:r>
      <w:r w:rsidRPr="00EB3B56">
        <w:rPr>
          <w:rFonts w:ascii="Arial" w:hAnsi="Arial" w:cs="Arial"/>
          <w:sz w:val="24"/>
          <w:szCs w:val="24"/>
        </w:rPr>
        <w:t xml:space="preserve">. </w:t>
      </w:r>
      <w:r w:rsidRPr="00EB3B56">
        <w:rPr>
          <w:rStyle w:val="FootnoteReference"/>
          <w:rFonts w:ascii="Arial" w:hAnsi="Arial" w:cs="Arial"/>
          <w:sz w:val="24"/>
          <w:szCs w:val="24"/>
        </w:rPr>
        <w:footnoteReference w:id="2"/>
      </w:r>
      <w:r w:rsidRPr="00EB3B56">
        <w:rPr>
          <w:rFonts w:ascii="Arial" w:hAnsi="Arial" w:cs="Arial"/>
          <w:sz w:val="24"/>
          <w:szCs w:val="24"/>
        </w:rPr>
        <w:t xml:space="preserve"> Longwe sued Intercontinental Hotel, seeking, inter alia, declarations pursuant to articles 11 and 23(2) of the Constitution. Briefly, the facts are that Sara Longwe, a pregnant woman, had been at the Intercontinental Hotel, attending a workshop hosted by the Zambia Association for Research and Development (ZARD). She was one of the organisers of the event. After the closure of the workshop, she remained in the conference room to pack materials, and then followed her colleagues to Luangwa Bar in the hotel for refreshments. She was refused entry on the ground that she did not have male company, which was a requirement by the hotel for women wanting to go into the bar. She challenged that requirement and argued that Zambia had ratified many international and regional treaties, including the Convention on the Elimination of All Forms of Discrimination against Women (CEDAW), and was a party to the African Charter on Human and Peoples’ Rights (ACHPR). Musumali J ordered that the regulation be scrapped forthwith on the basis that it discriminated on the grounds of sex</w:t>
      </w:r>
      <w:r w:rsidR="00030FD2">
        <w:rPr>
          <w:rFonts w:ascii="Arial" w:hAnsi="Arial" w:cs="Arial"/>
          <w:sz w:val="24"/>
          <w:szCs w:val="24"/>
        </w:rPr>
        <w:t>.</w:t>
      </w:r>
    </w:p>
    <w:p w:rsidR="00030FD2" w:rsidRPr="00EB3B56" w:rsidRDefault="00030FD2" w:rsidP="00857909">
      <w:pPr>
        <w:spacing w:line="360" w:lineRule="auto"/>
        <w:rPr>
          <w:rFonts w:ascii="Arial" w:hAnsi="Arial" w:cs="Arial"/>
          <w:sz w:val="24"/>
          <w:szCs w:val="24"/>
        </w:rPr>
      </w:pPr>
      <w:r>
        <w:rPr>
          <w:rFonts w:ascii="Arial" w:hAnsi="Arial" w:cs="Arial"/>
          <w:sz w:val="24"/>
          <w:szCs w:val="24"/>
        </w:rPr>
        <w:t xml:space="preserve">In the case of </w:t>
      </w:r>
      <w:r w:rsidRPr="00030FD2">
        <w:rPr>
          <w:rFonts w:ascii="Arial" w:hAnsi="Arial" w:cs="Arial"/>
          <w:b/>
          <w:sz w:val="24"/>
          <w:szCs w:val="24"/>
          <w:u w:val="single"/>
        </w:rPr>
        <w:t>Rachel sakala v the attorney</w:t>
      </w:r>
      <w:r w:rsidR="00301713">
        <w:rPr>
          <w:rFonts w:ascii="Arial" w:hAnsi="Arial" w:cs="Arial"/>
          <w:b/>
          <w:sz w:val="24"/>
          <w:szCs w:val="24"/>
          <w:u w:val="single"/>
        </w:rPr>
        <w:t xml:space="preserve"> General</w:t>
      </w:r>
      <w:r>
        <w:rPr>
          <w:rStyle w:val="FootnoteReference"/>
          <w:rFonts w:ascii="Arial" w:hAnsi="Arial" w:cs="Arial"/>
          <w:b/>
          <w:sz w:val="24"/>
          <w:szCs w:val="24"/>
          <w:u w:val="single"/>
        </w:rPr>
        <w:footnoteReference w:id="3"/>
      </w:r>
      <w:r w:rsidR="00E84038">
        <w:rPr>
          <w:rFonts w:ascii="Arial" w:hAnsi="Arial" w:cs="Arial"/>
          <w:sz w:val="24"/>
          <w:szCs w:val="24"/>
        </w:rPr>
        <w:t xml:space="preserve"> </w:t>
      </w:r>
      <w:r>
        <w:rPr>
          <w:rFonts w:ascii="Arial" w:hAnsi="Arial" w:cs="Arial"/>
          <w:sz w:val="24"/>
          <w:szCs w:val="24"/>
        </w:rPr>
        <w:t xml:space="preserve"> illustrates how women can be discriminated against in employment. In this case the housing regulations under the employment Act provided that an employer was obliged to provide adequate housing to an employee, married women were excluded because the husband was already catered for. The government however concede defeat before the matter could for trial that a failure to provide a female employee housing in her own right constituted discrimination based on sex or marital status.</w:t>
      </w:r>
    </w:p>
    <w:p w:rsidR="00DC25CC" w:rsidRDefault="00DC25CC" w:rsidP="00DC25CC">
      <w:pPr>
        <w:spacing w:line="360" w:lineRule="auto"/>
        <w:rPr>
          <w:rFonts w:ascii="Arial" w:hAnsi="Arial" w:cs="Arial"/>
          <w:sz w:val="24"/>
          <w:szCs w:val="24"/>
        </w:rPr>
      </w:pPr>
      <w:r w:rsidRPr="00DC25CC">
        <w:rPr>
          <w:rFonts w:ascii="Arial" w:hAnsi="Arial" w:cs="Arial"/>
          <w:sz w:val="24"/>
          <w:szCs w:val="24"/>
        </w:rPr>
        <w:t xml:space="preserve">The Constitution of Zambia of 2016 provides for stronger human rights language and an institutional </w:t>
      </w:r>
      <w:r w:rsidR="003C466C">
        <w:rPr>
          <w:rFonts w:ascii="Arial" w:hAnsi="Arial" w:cs="Arial"/>
          <w:sz w:val="24"/>
          <w:szCs w:val="24"/>
        </w:rPr>
        <w:t xml:space="preserve">framework consistent with CEDAW. </w:t>
      </w:r>
      <w:r w:rsidRPr="00DC25CC">
        <w:rPr>
          <w:rFonts w:ascii="Arial" w:hAnsi="Arial" w:cs="Arial"/>
          <w:sz w:val="24"/>
          <w:szCs w:val="24"/>
        </w:rPr>
        <w:t>It provides for the establishment of a Gender Equity and Equality Commission with a mandate of promoting gender equa</w:t>
      </w:r>
      <w:r w:rsidR="003C466C">
        <w:rPr>
          <w:rFonts w:ascii="Arial" w:hAnsi="Arial" w:cs="Arial"/>
          <w:sz w:val="24"/>
          <w:szCs w:val="24"/>
        </w:rPr>
        <w:t xml:space="preserve">lity in all sectors. </w:t>
      </w:r>
      <w:r w:rsidRPr="00DC25CC">
        <w:rPr>
          <w:rFonts w:ascii="Arial" w:hAnsi="Arial" w:cs="Arial"/>
          <w:sz w:val="24"/>
          <w:szCs w:val="24"/>
        </w:rPr>
        <w:t>Parliament also passed the Gender Equity and Equality Act, No 22 of 2015, to give effect to the Convention on the Elimination of all Forms of Discrimination against Women and the Protocol to the African Charter on Human and People’s Rights on</w:t>
      </w:r>
      <w:r w:rsidR="003C466C">
        <w:rPr>
          <w:rFonts w:ascii="Arial" w:hAnsi="Arial" w:cs="Arial"/>
          <w:sz w:val="24"/>
          <w:szCs w:val="24"/>
        </w:rPr>
        <w:t xml:space="preserve"> the Rights of Women in Africa. </w:t>
      </w:r>
      <w:r w:rsidRPr="00DC25CC">
        <w:rPr>
          <w:rFonts w:ascii="Arial" w:hAnsi="Arial" w:cs="Arial"/>
          <w:sz w:val="24"/>
          <w:szCs w:val="24"/>
        </w:rPr>
        <w:t>Substantial progress has been achieved since the promulgation of the Anti-Gender Based Violence Act in 2011</w:t>
      </w:r>
      <w:r w:rsidR="00925635">
        <w:rPr>
          <w:rFonts w:ascii="Arial" w:hAnsi="Arial" w:cs="Arial"/>
          <w:sz w:val="24"/>
          <w:szCs w:val="24"/>
        </w:rPr>
        <w:t>.</w:t>
      </w:r>
      <w:r w:rsidR="00F8397D" w:rsidRPr="00F8397D">
        <w:t xml:space="preserve"> </w:t>
      </w:r>
      <w:r w:rsidR="00F8397D" w:rsidRPr="00F8397D">
        <w:rPr>
          <w:rFonts w:ascii="Arial" w:hAnsi="Arial" w:cs="Arial"/>
          <w:sz w:val="24"/>
          <w:szCs w:val="24"/>
        </w:rPr>
        <w:t>Gender-based violence (GBV) in Zambia takes the form of physical, mental, social or economic abuse against a person because of that person’s gender and includes violence that may result in physical, sexual or psychological harm and suffering to the victim. It may also include threats or coercion, or the arbitrary deprivation of liberty, whether in public or private life.</w:t>
      </w:r>
      <w:r w:rsidR="00FC5876" w:rsidRPr="00FC5876">
        <w:t xml:space="preserve"> </w:t>
      </w:r>
      <w:r w:rsidR="00FC5876" w:rsidRPr="00FC5876">
        <w:rPr>
          <w:rFonts w:ascii="Arial" w:hAnsi="Arial" w:cs="Arial"/>
          <w:sz w:val="24"/>
          <w:szCs w:val="24"/>
        </w:rPr>
        <w:t>Women in Zambia experience a variety of forms of violence including battery, sexual abuse and exploitation, rape, defilement (rape of a child) and incest.</w:t>
      </w:r>
    </w:p>
    <w:p w:rsidR="00E82765" w:rsidRPr="00D13772" w:rsidRDefault="00E82765" w:rsidP="00C5250A">
      <w:pPr>
        <w:spacing w:line="360" w:lineRule="auto"/>
        <w:rPr>
          <w:rFonts w:ascii="Arial" w:hAnsi="Arial" w:cs="Arial"/>
          <w:b/>
          <w:sz w:val="24"/>
          <w:szCs w:val="24"/>
          <w:u w:val="single"/>
        </w:rPr>
      </w:pPr>
      <w:r w:rsidRPr="00D13772">
        <w:rPr>
          <w:rFonts w:ascii="Arial" w:hAnsi="Arial" w:cs="Arial"/>
          <w:b/>
          <w:sz w:val="24"/>
          <w:szCs w:val="24"/>
          <w:u w:val="single"/>
        </w:rPr>
        <w:t>Anti-Gender Based Violence Act (2011)</w:t>
      </w:r>
    </w:p>
    <w:p w:rsidR="00E82765" w:rsidRDefault="00925635" w:rsidP="00C5250A">
      <w:pPr>
        <w:spacing w:line="360" w:lineRule="auto"/>
        <w:rPr>
          <w:rFonts w:ascii="Arial" w:hAnsi="Arial" w:cs="Arial"/>
          <w:sz w:val="24"/>
          <w:szCs w:val="24"/>
        </w:rPr>
      </w:pPr>
      <w:r w:rsidRPr="00925635">
        <w:rPr>
          <w:rFonts w:ascii="Arial" w:hAnsi="Arial" w:cs="Arial"/>
          <w:b/>
          <w:sz w:val="24"/>
          <w:szCs w:val="24"/>
        </w:rPr>
        <w:t>Anti-Gender Based Violence Act (2011),</w:t>
      </w:r>
      <w:r w:rsidRPr="00925635">
        <w:rPr>
          <w:rFonts w:ascii="Arial" w:hAnsi="Arial" w:cs="Arial"/>
          <w:sz w:val="24"/>
          <w:szCs w:val="24"/>
        </w:rPr>
        <w:t xml:space="preserve"> signed off by Zambian President Rupiah Banda in April 2011 is a major step forward in the fight against gender</w:t>
      </w:r>
      <w:r>
        <w:rPr>
          <w:rFonts w:ascii="Arial" w:hAnsi="Arial" w:cs="Arial"/>
          <w:sz w:val="24"/>
          <w:szCs w:val="24"/>
        </w:rPr>
        <w:t xml:space="preserve"> based violence (GBV) in Zambia. </w:t>
      </w:r>
      <w:r w:rsidRPr="00925635">
        <w:rPr>
          <w:rFonts w:ascii="Arial" w:hAnsi="Arial" w:cs="Arial"/>
          <w:sz w:val="24"/>
          <w:szCs w:val="24"/>
        </w:rPr>
        <w:t>One of the most comprehensive laws on GBV in SADC, the Act gives hope to many women and children who have been subjected to</w:t>
      </w:r>
      <w:r>
        <w:rPr>
          <w:rFonts w:ascii="Arial" w:hAnsi="Arial" w:cs="Arial"/>
          <w:sz w:val="24"/>
          <w:szCs w:val="24"/>
        </w:rPr>
        <w:t xml:space="preserve"> GBV without adequate recourse.</w:t>
      </w:r>
      <w:r w:rsidRPr="00925635">
        <w:rPr>
          <w:rFonts w:ascii="Arial" w:hAnsi="Arial" w:cs="Arial"/>
          <w:sz w:val="24"/>
          <w:szCs w:val="24"/>
        </w:rPr>
        <w:t xml:space="preserve"> It offers a comprehensive framework for protection and means of survival for victims and survivors of GBV as well </w:t>
      </w:r>
      <w:r>
        <w:rPr>
          <w:rFonts w:ascii="Arial" w:hAnsi="Arial" w:cs="Arial"/>
          <w:sz w:val="24"/>
          <w:szCs w:val="24"/>
        </w:rPr>
        <w:t xml:space="preserve">as prosecution of </w:t>
      </w:r>
      <w:r w:rsidR="00227600">
        <w:rPr>
          <w:rFonts w:ascii="Arial" w:hAnsi="Arial" w:cs="Arial"/>
          <w:sz w:val="24"/>
          <w:szCs w:val="24"/>
        </w:rPr>
        <w:t>perpetrators.</w:t>
      </w:r>
      <w:r w:rsidR="00227600" w:rsidRPr="00925635">
        <w:rPr>
          <w:rFonts w:ascii="Arial" w:hAnsi="Arial" w:cs="Arial"/>
          <w:sz w:val="24"/>
          <w:szCs w:val="24"/>
        </w:rPr>
        <w:t xml:space="preserve"> The</w:t>
      </w:r>
      <w:r w:rsidRPr="00925635">
        <w:rPr>
          <w:rFonts w:ascii="Arial" w:hAnsi="Arial" w:cs="Arial"/>
          <w:sz w:val="24"/>
          <w:szCs w:val="24"/>
        </w:rPr>
        <w:t xml:space="preserve"> Act takes its inspiration from the gender based violence provisions of Articles 20 – 25 of the SADC Protocol on Gender and Development which calls on States to enact and enforce legislation prohibiting all forms of GBV</w:t>
      </w:r>
      <w:r w:rsidR="00227600">
        <w:rPr>
          <w:rFonts w:ascii="Arial" w:hAnsi="Arial" w:cs="Arial"/>
          <w:sz w:val="24"/>
          <w:szCs w:val="24"/>
        </w:rPr>
        <w:t xml:space="preserve">. </w:t>
      </w:r>
      <w:r w:rsidR="00D13772" w:rsidRPr="00D13772">
        <w:rPr>
          <w:rFonts w:ascii="Arial" w:hAnsi="Arial" w:cs="Arial"/>
          <w:sz w:val="24"/>
          <w:szCs w:val="24"/>
        </w:rPr>
        <w:t>It is an Act to provide for the protection of victims of gender-based violence; constitute the Anti-Gender -Based Violence Committee; establish the Anti-Gender-Based Violence Fund; and provide for matters connected with, or incidental to, the foregoing. It provides for the issuance of protection orders, the creation of shelters (Article 24) for child victims of violence (Article 27), and for the creation of shelters for adult victims and their children (Article 28).  The Act also establishes an Anti-Gender-Based Violence Committee (Article 31 and 31.2) and an Anti-Gender-Based Violence Fund (Article 32). Physical, mental, social or economic abuse ” means any act, omission or behaviour or threat of any such act, omission or behaviour which results in death or is likely to result in the direct infliction of physical, sexual or mental injury to any person, and includes, among others, female genital mutilation.</w:t>
      </w:r>
    </w:p>
    <w:p w:rsidR="00925635" w:rsidRDefault="00227600" w:rsidP="00C5250A">
      <w:pPr>
        <w:spacing w:line="360" w:lineRule="auto"/>
        <w:rPr>
          <w:rFonts w:ascii="Arial" w:hAnsi="Arial" w:cs="Arial"/>
          <w:sz w:val="24"/>
          <w:szCs w:val="24"/>
        </w:rPr>
      </w:pPr>
      <w:r w:rsidRPr="00227600">
        <w:rPr>
          <w:rFonts w:ascii="Arial" w:hAnsi="Arial" w:cs="Arial"/>
          <w:sz w:val="24"/>
          <w:szCs w:val="24"/>
        </w:rPr>
        <w:t>The SADC Pro</w:t>
      </w:r>
      <w:r>
        <w:rPr>
          <w:rFonts w:ascii="Arial" w:hAnsi="Arial" w:cs="Arial"/>
          <w:sz w:val="24"/>
          <w:szCs w:val="24"/>
        </w:rPr>
        <w:t xml:space="preserve">tocol on Gender and Development </w:t>
      </w:r>
      <w:r w:rsidRPr="00227600">
        <w:rPr>
          <w:rFonts w:ascii="Arial" w:hAnsi="Arial" w:cs="Arial"/>
          <w:sz w:val="24"/>
          <w:szCs w:val="24"/>
        </w:rPr>
        <w:t xml:space="preserve">has not been </w:t>
      </w:r>
      <w:r>
        <w:rPr>
          <w:rFonts w:ascii="Arial" w:hAnsi="Arial" w:cs="Arial"/>
          <w:sz w:val="24"/>
          <w:szCs w:val="24"/>
        </w:rPr>
        <w:t xml:space="preserve">fully implemented and accounted </w:t>
      </w:r>
      <w:r w:rsidRPr="00227600">
        <w:rPr>
          <w:rFonts w:ascii="Arial" w:hAnsi="Arial" w:cs="Arial"/>
          <w:sz w:val="24"/>
          <w:szCs w:val="24"/>
        </w:rPr>
        <w:t>for by the Sta</w:t>
      </w:r>
      <w:r>
        <w:rPr>
          <w:rFonts w:ascii="Arial" w:hAnsi="Arial" w:cs="Arial"/>
          <w:sz w:val="24"/>
          <w:szCs w:val="24"/>
        </w:rPr>
        <w:t xml:space="preserve">te. Progress on most indicators </w:t>
      </w:r>
      <w:r w:rsidRPr="00227600">
        <w:rPr>
          <w:rFonts w:ascii="Arial" w:hAnsi="Arial" w:cs="Arial"/>
          <w:sz w:val="24"/>
          <w:szCs w:val="24"/>
        </w:rPr>
        <w:t>remained a back and forth affair</w:t>
      </w:r>
      <w:r>
        <w:rPr>
          <w:rFonts w:ascii="Arial" w:hAnsi="Arial" w:cs="Arial"/>
          <w:sz w:val="24"/>
          <w:szCs w:val="24"/>
        </w:rPr>
        <w:t xml:space="preserve">. </w:t>
      </w:r>
      <w:r w:rsidRPr="00227600">
        <w:rPr>
          <w:rFonts w:ascii="Arial" w:hAnsi="Arial" w:cs="Arial"/>
          <w:sz w:val="24"/>
          <w:szCs w:val="24"/>
        </w:rPr>
        <w:t>There are significantly fewer women in Parliament and powerful public decision making positions, land ownership, business, academia, and corporate leadership compared to men.</w:t>
      </w:r>
      <w:r w:rsidR="00C5250A" w:rsidRPr="00C5250A">
        <w:t xml:space="preserve"> </w:t>
      </w:r>
      <w:r w:rsidR="00C5250A" w:rsidRPr="00C5250A">
        <w:rPr>
          <w:rFonts w:ascii="Arial" w:hAnsi="Arial" w:cs="Arial"/>
          <w:sz w:val="24"/>
          <w:szCs w:val="24"/>
        </w:rPr>
        <w:t>Domestic violence is the most common form of GBV among partn</w:t>
      </w:r>
      <w:r w:rsidR="00C5250A">
        <w:rPr>
          <w:rFonts w:ascii="Arial" w:hAnsi="Arial" w:cs="Arial"/>
          <w:sz w:val="24"/>
          <w:szCs w:val="24"/>
        </w:rPr>
        <w:t xml:space="preserve">ers. It refers to </w:t>
      </w:r>
      <w:r w:rsidR="00C5250A" w:rsidRPr="00C5250A">
        <w:rPr>
          <w:rFonts w:ascii="Arial" w:hAnsi="Arial" w:cs="Arial"/>
          <w:sz w:val="24"/>
          <w:szCs w:val="24"/>
        </w:rPr>
        <w:t>forms of abuse which include physical abuse; emot</w:t>
      </w:r>
      <w:r w:rsidR="00C5250A">
        <w:rPr>
          <w:rFonts w:ascii="Arial" w:hAnsi="Arial" w:cs="Arial"/>
          <w:sz w:val="24"/>
          <w:szCs w:val="24"/>
        </w:rPr>
        <w:t xml:space="preserve">ional, verbal and psychological </w:t>
      </w:r>
      <w:r w:rsidR="00C5250A" w:rsidRPr="00C5250A">
        <w:rPr>
          <w:rFonts w:ascii="Arial" w:hAnsi="Arial" w:cs="Arial"/>
          <w:sz w:val="24"/>
          <w:szCs w:val="24"/>
        </w:rPr>
        <w:t>abuse; economic abuse; intimidation; harassment; stalking; damage to property</w:t>
      </w:r>
    </w:p>
    <w:p w:rsidR="00FC5876" w:rsidRPr="00FC5876" w:rsidRDefault="00F550F9" w:rsidP="00FC5876">
      <w:pPr>
        <w:spacing w:line="360" w:lineRule="auto"/>
        <w:rPr>
          <w:rFonts w:ascii="Arial" w:hAnsi="Arial" w:cs="Arial"/>
          <w:sz w:val="24"/>
          <w:szCs w:val="24"/>
        </w:rPr>
      </w:pPr>
      <w:r>
        <w:rPr>
          <w:rFonts w:ascii="Arial" w:hAnsi="Arial" w:cs="Arial"/>
          <w:sz w:val="24"/>
          <w:szCs w:val="24"/>
        </w:rPr>
        <w:t xml:space="preserve">A </w:t>
      </w:r>
      <w:r w:rsidRPr="00F550F9">
        <w:rPr>
          <w:rFonts w:ascii="Arial" w:hAnsi="Arial" w:cs="Arial"/>
          <w:sz w:val="24"/>
          <w:szCs w:val="24"/>
        </w:rPr>
        <w:t>total of 20,540 cases of Gender Based Violence were reported Countrywide in 2021</w:t>
      </w:r>
      <w:r w:rsidR="00675BAF">
        <w:rPr>
          <w:rFonts w:ascii="Arial" w:hAnsi="Arial" w:cs="Arial"/>
          <w:sz w:val="24"/>
          <w:szCs w:val="24"/>
        </w:rPr>
        <w:t xml:space="preserve"> </w:t>
      </w:r>
      <w:r w:rsidRPr="00F550F9">
        <w:rPr>
          <w:rFonts w:ascii="Arial" w:hAnsi="Arial" w:cs="Arial"/>
          <w:sz w:val="24"/>
          <w:szCs w:val="24"/>
        </w:rPr>
        <w:t>compared with 26,370 GBV cases recorded in 2020 showing a decrease by 5,830 cases translating to a 22.1% decrease.</w:t>
      </w:r>
      <w:r w:rsidR="00FC5876" w:rsidRPr="00FC5876">
        <w:t xml:space="preserve"> </w:t>
      </w:r>
      <w:r w:rsidR="00FC5876" w:rsidRPr="00FC5876">
        <w:rPr>
          <w:rFonts w:ascii="Arial" w:hAnsi="Arial" w:cs="Arial"/>
          <w:sz w:val="24"/>
          <w:szCs w:val="24"/>
        </w:rPr>
        <w:t>Gender experts say the root causes of GBV can largely be narrowed down to inequality for women and the associated violence and harmful and controlling aspects of masculinity that result from patriarchal power imbalances embedded in much of Africa’s tr</w:t>
      </w:r>
      <w:r w:rsidR="00991586">
        <w:rPr>
          <w:rFonts w:ascii="Arial" w:hAnsi="Arial" w:cs="Arial"/>
          <w:sz w:val="24"/>
          <w:szCs w:val="24"/>
        </w:rPr>
        <w:t>aditional and cultural beliefs.</w:t>
      </w:r>
    </w:p>
    <w:p w:rsidR="00F550F9" w:rsidRDefault="00FC5876" w:rsidP="00FC5876">
      <w:pPr>
        <w:spacing w:line="360" w:lineRule="auto"/>
        <w:rPr>
          <w:rFonts w:ascii="Arial" w:hAnsi="Arial" w:cs="Arial"/>
          <w:sz w:val="24"/>
          <w:szCs w:val="24"/>
        </w:rPr>
      </w:pPr>
      <w:r w:rsidRPr="00FC5876">
        <w:rPr>
          <w:rFonts w:ascii="Arial" w:hAnsi="Arial" w:cs="Arial"/>
          <w:sz w:val="24"/>
          <w:szCs w:val="24"/>
        </w:rPr>
        <w:t>This imbalance often leads to pervasive cultural stereotypes and attitudes that perpetuate the cycle of GBV. Communities, especially in the rural areas, have continued to embrace negative cultural beliefs whereby GBV is the norm. If a man does not beat his wife, it is taken to mean he does not love her. Some beliefs condone men’</w:t>
      </w:r>
      <w:r>
        <w:rPr>
          <w:rFonts w:ascii="Arial" w:hAnsi="Arial" w:cs="Arial"/>
          <w:sz w:val="24"/>
          <w:szCs w:val="24"/>
        </w:rPr>
        <w:t xml:space="preserve">s infidelity but never women’s. </w:t>
      </w:r>
      <w:r w:rsidRPr="00FC5876">
        <w:rPr>
          <w:rFonts w:ascii="Arial" w:hAnsi="Arial" w:cs="Arial"/>
          <w:sz w:val="24"/>
          <w:szCs w:val="24"/>
        </w:rPr>
        <w:t>The dependency syndrome, whereby women depend on the perpetrators of violence for survival, puts survivors in vulnerable situations.</w:t>
      </w:r>
    </w:p>
    <w:p w:rsidR="00537BE9" w:rsidRDefault="00537BE9" w:rsidP="00537BE9">
      <w:pPr>
        <w:spacing w:line="360" w:lineRule="auto"/>
        <w:rPr>
          <w:rFonts w:ascii="Arial" w:hAnsi="Arial" w:cs="Arial"/>
          <w:sz w:val="24"/>
          <w:szCs w:val="24"/>
        </w:rPr>
      </w:pPr>
      <w:r w:rsidRPr="00537BE9">
        <w:rPr>
          <w:rFonts w:ascii="Arial" w:hAnsi="Arial" w:cs="Arial"/>
          <w:sz w:val="24"/>
          <w:szCs w:val="24"/>
        </w:rPr>
        <w:t>The Ministry of Gender has been coordinating a joint programme between the government and the UN on GBV, which has a multi</w:t>
      </w:r>
      <w:r w:rsidR="00675BAF">
        <w:rPr>
          <w:rFonts w:ascii="Arial" w:hAnsi="Arial" w:cs="Arial"/>
          <w:sz w:val="24"/>
          <w:szCs w:val="24"/>
        </w:rPr>
        <w:t xml:space="preserve"> </w:t>
      </w:r>
      <w:r w:rsidRPr="00537BE9">
        <w:rPr>
          <w:rFonts w:ascii="Arial" w:hAnsi="Arial" w:cs="Arial"/>
          <w:sz w:val="24"/>
          <w:szCs w:val="24"/>
        </w:rPr>
        <w:t>sectoral approach and involves enhancing access to health services, legal services and social protection systems for surv</w:t>
      </w:r>
      <w:r>
        <w:rPr>
          <w:rFonts w:ascii="Arial" w:hAnsi="Arial" w:cs="Arial"/>
          <w:sz w:val="24"/>
          <w:szCs w:val="24"/>
        </w:rPr>
        <w:t xml:space="preserve">ivors of GBV. </w:t>
      </w:r>
      <w:r w:rsidRPr="00537BE9">
        <w:rPr>
          <w:rFonts w:ascii="Arial" w:hAnsi="Arial" w:cs="Arial"/>
          <w:sz w:val="24"/>
          <w:szCs w:val="24"/>
        </w:rPr>
        <w:t>Under the joint programme, two fast-track courts in the cities Kabwe and Lusaka have been established t</w:t>
      </w:r>
      <w:r>
        <w:rPr>
          <w:rFonts w:ascii="Arial" w:hAnsi="Arial" w:cs="Arial"/>
          <w:sz w:val="24"/>
          <w:szCs w:val="24"/>
        </w:rPr>
        <w:t xml:space="preserve">o speedily deal with GBV cases. </w:t>
      </w:r>
      <w:r w:rsidRPr="00537BE9">
        <w:rPr>
          <w:rFonts w:ascii="Arial" w:hAnsi="Arial" w:cs="Arial"/>
          <w:sz w:val="24"/>
          <w:szCs w:val="24"/>
        </w:rPr>
        <w:t xml:space="preserve">The Non–Governmental Organizations Coordinating </w:t>
      </w:r>
      <w:r w:rsidR="00675BAF" w:rsidRPr="00537BE9">
        <w:rPr>
          <w:rFonts w:ascii="Arial" w:hAnsi="Arial" w:cs="Arial"/>
          <w:sz w:val="24"/>
          <w:szCs w:val="24"/>
        </w:rPr>
        <w:t>Council (</w:t>
      </w:r>
      <w:r w:rsidRPr="00537BE9">
        <w:rPr>
          <w:rFonts w:ascii="Arial" w:hAnsi="Arial" w:cs="Arial"/>
          <w:sz w:val="24"/>
          <w:szCs w:val="24"/>
        </w:rPr>
        <w:t>NGOCC), an umbrella organization coordinating member NGOs, faith based organisations and community based organisation addressing gender and development through training, networking and advocacy, has been advocating for the scaling up of the fast-track courts and the operationalisation of an anti-GBV fund to help survivors</w:t>
      </w:r>
      <w:r w:rsidR="00675BAF">
        <w:rPr>
          <w:rFonts w:ascii="Arial" w:hAnsi="Arial" w:cs="Arial"/>
          <w:sz w:val="24"/>
          <w:szCs w:val="24"/>
        </w:rPr>
        <w:t>.</w:t>
      </w:r>
    </w:p>
    <w:p w:rsidR="00991586" w:rsidRDefault="00675BAF" w:rsidP="00991586">
      <w:pPr>
        <w:spacing w:line="360" w:lineRule="auto"/>
        <w:rPr>
          <w:rFonts w:ascii="Arial" w:hAnsi="Arial" w:cs="Arial"/>
          <w:sz w:val="24"/>
          <w:szCs w:val="24"/>
        </w:rPr>
      </w:pPr>
      <w:r w:rsidRPr="00675BAF">
        <w:rPr>
          <w:rFonts w:ascii="Arial" w:hAnsi="Arial" w:cs="Arial"/>
          <w:sz w:val="24"/>
          <w:szCs w:val="24"/>
        </w:rPr>
        <w:t>The</w:t>
      </w:r>
      <w:r>
        <w:rPr>
          <w:rFonts w:ascii="Arial" w:hAnsi="Arial" w:cs="Arial"/>
          <w:sz w:val="24"/>
          <w:szCs w:val="24"/>
        </w:rPr>
        <w:t xml:space="preserve"> </w:t>
      </w:r>
      <w:r w:rsidRPr="00675BAF">
        <w:rPr>
          <w:rFonts w:ascii="Arial" w:hAnsi="Arial" w:cs="Arial"/>
          <w:sz w:val="24"/>
          <w:szCs w:val="24"/>
        </w:rPr>
        <w:t>creation of</w:t>
      </w:r>
      <w:r>
        <w:rPr>
          <w:rFonts w:ascii="Arial" w:hAnsi="Arial" w:cs="Arial"/>
          <w:sz w:val="24"/>
          <w:szCs w:val="24"/>
        </w:rPr>
        <w:t xml:space="preserve"> the Gender Equity and Equality </w:t>
      </w:r>
      <w:r w:rsidRPr="00675BAF">
        <w:rPr>
          <w:rFonts w:ascii="Arial" w:hAnsi="Arial" w:cs="Arial"/>
          <w:sz w:val="24"/>
          <w:szCs w:val="24"/>
        </w:rPr>
        <w:t>Commissio</w:t>
      </w:r>
      <w:r>
        <w:rPr>
          <w:rFonts w:ascii="Arial" w:hAnsi="Arial" w:cs="Arial"/>
          <w:sz w:val="24"/>
          <w:szCs w:val="24"/>
        </w:rPr>
        <w:t xml:space="preserve">n provided for under the Gender </w:t>
      </w:r>
      <w:r w:rsidRPr="00675BAF">
        <w:rPr>
          <w:rFonts w:ascii="Arial" w:hAnsi="Arial" w:cs="Arial"/>
          <w:sz w:val="24"/>
          <w:szCs w:val="24"/>
        </w:rPr>
        <w:t>Equity and Equa</w:t>
      </w:r>
      <w:r>
        <w:rPr>
          <w:rFonts w:ascii="Arial" w:hAnsi="Arial" w:cs="Arial"/>
          <w:sz w:val="24"/>
          <w:szCs w:val="24"/>
        </w:rPr>
        <w:t xml:space="preserve">lity Act No. 22 of 2015 has not </w:t>
      </w:r>
      <w:r w:rsidRPr="00675BAF">
        <w:rPr>
          <w:rFonts w:ascii="Arial" w:hAnsi="Arial" w:cs="Arial"/>
          <w:sz w:val="24"/>
          <w:szCs w:val="24"/>
        </w:rPr>
        <w:t>been implemented since the enactment of the</w:t>
      </w:r>
      <w:r>
        <w:rPr>
          <w:rFonts w:ascii="Arial" w:hAnsi="Arial" w:cs="Arial"/>
          <w:sz w:val="24"/>
          <w:szCs w:val="24"/>
        </w:rPr>
        <w:t xml:space="preserve"> Act</w:t>
      </w:r>
      <w:r w:rsidR="00991586">
        <w:rPr>
          <w:rFonts w:ascii="Arial" w:hAnsi="Arial" w:cs="Arial"/>
          <w:sz w:val="24"/>
          <w:szCs w:val="24"/>
        </w:rPr>
        <w:t>.</w:t>
      </w:r>
    </w:p>
    <w:p w:rsidR="00552F98" w:rsidRDefault="00552F98" w:rsidP="00552F98">
      <w:pPr>
        <w:spacing w:line="360" w:lineRule="auto"/>
        <w:rPr>
          <w:rFonts w:ascii="Arial" w:hAnsi="Arial" w:cs="Arial"/>
          <w:b/>
          <w:sz w:val="24"/>
          <w:szCs w:val="24"/>
          <w:u w:val="single"/>
        </w:rPr>
      </w:pPr>
    </w:p>
    <w:p w:rsidR="00552F98" w:rsidRDefault="008554E1" w:rsidP="00552F98">
      <w:pPr>
        <w:spacing w:line="360" w:lineRule="auto"/>
        <w:rPr>
          <w:rFonts w:ascii="Arial" w:hAnsi="Arial" w:cs="Arial"/>
          <w:b/>
          <w:sz w:val="24"/>
          <w:szCs w:val="24"/>
          <w:u w:val="single"/>
        </w:rPr>
      </w:pPr>
      <w:r w:rsidRPr="008554E1">
        <w:rPr>
          <w:rFonts w:ascii="Arial" w:hAnsi="Arial" w:cs="Arial"/>
          <w:b/>
          <w:sz w:val="24"/>
          <w:szCs w:val="24"/>
          <w:u w:val="single"/>
        </w:rPr>
        <w:t>CONVENTION ON THE RIGHTS OF A CHILD (CRC</w:t>
      </w:r>
      <w:r w:rsidRPr="00FB5726">
        <w:rPr>
          <w:rFonts w:ascii="Arial" w:hAnsi="Arial" w:cs="Arial"/>
          <w:b/>
          <w:sz w:val="24"/>
          <w:szCs w:val="24"/>
          <w:u w:val="single"/>
        </w:rPr>
        <w:t>)</w:t>
      </w:r>
      <w:r w:rsidR="00FB5726" w:rsidRPr="00FB5726">
        <w:rPr>
          <w:b/>
          <w:u w:val="single"/>
        </w:rPr>
        <w:t xml:space="preserve"> </w:t>
      </w:r>
      <w:r w:rsidR="00FB5726" w:rsidRPr="00FB5726">
        <w:rPr>
          <w:rFonts w:ascii="Arial" w:hAnsi="Arial" w:cs="Arial"/>
          <w:b/>
          <w:sz w:val="24"/>
          <w:szCs w:val="24"/>
          <w:u w:val="single"/>
        </w:rPr>
        <w:t>1989</w:t>
      </w:r>
    </w:p>
    <w:p w:rsidR="00125830" w:rsidRPr="00125830" w:rsidRDefault="00125830" w:rsidP="00552F98">
      <w:pPr>
        <w:spacing w:line="360" w:lineRule="auto"/>
        <w:rPr>
          <w:rFonts w:ascii="Arial" w:hAnsi="Arial" w:cs="Arial"/>
          <w:sz w:val="24"/>
          <w:szCs w:val="24"/>
        </w:rPr>
      </w:pPr>
      <w:r w:rsidRPr="00125830">
        <w:rPr>
          <w:rFonts w:ascii="Arial" w:hAnsi="Arial" w:cs="Arial"/>
          <w:sz w:val="24"/>
          <w:szCs w:val="24"/>
        </w:rPr>
        <w:t>The welfare and rights of children have been a subject which the United Nations has dealt with since its creation. Already the League of Nations had promoted the idea of granting special protection to the rights of the child through the adoption in 1924 of a Declaration on the Rights of the Child. One of the first decisions of the General Assembly in 1946 was to create the United Nations Fund for Children (UNICEF), an organization which during a first phase dealt primarily with assistance to children affected by emergencies. In 1953 it was made a permanent body and its mandate expanded to cover development issues and the welfare of children in a more general sense. Now today, UNICEF regards the promotion and protection of the rights set out in the 1989 Convention on the Rights of the Child as a general framework and mandate for all its activities. The Universal Declaration of Human Rights, adapted in 1948, recognized in article 25 that “childhood is entitled to special care and assistance” and that “all children, whether born in or out of wedlock, shall enjoy the same social protection.” In 1959, the United Nations adopted a Declaration on the Rights of the Child, where the rights from the old 1924 Declaration were reaffirmed and further elaborated. The need to give the force of legally binding obligations to children’s rights also became more evident, and in 1979- the International Year of the Child- the Commission on Human Rights started its work on the drafting of a convention. The drafting process took ten years.</w:t>
      </w:r>
    </w:p>
    <w:p w:rsidR="008554E1" w:rsidRDefault="00125830" w:rsidP="00552F98">
      <w:pPr>
        <w:spacing w:line="360" w:lineRule="auto"/>
        <w:rPr>
          <w:rFonts w:ascii="Arial" w:hAnsi="Arial" w:cs="Arial"/>
          <w:sz w:val="24"/>
          <w:szCs w:val="24"/>
        </w:rPr>
      </w:pPr>
      <w:r w:rsidRPr="00125830">
        <w:rPr>
          <w:rFonts w:ascii="Arial" w:hAnsi="Arial" w:cs="Arial"/>
          <w:sz w:val="24"/>
          <w:szCs w:val="24"/>
        </w:rPr>
        <w:t>The Convention was adopted by the General Assembly in 1989, and entered into force in 1990.</w:t>
      </w:r>
      <w:r>
        <w:t xml:space="preserve"> </w:t>
      </w:r>
      <w:r w:rsidR="00EE271D" w:rsidRPr="00EE271D">
        <w:rPr>
          <w:rFonts w:ascii="Arial" w:hAnsi="Arial" w:cs="Arial"/>
          <w:sz w:val="24"/>
          <w:szCs w:val="24"/>
        </w:rPr>
        <w:t>It has 196 state parties.</w:t>
      </w:r>
      <w:r w:rsidR="00EE271D">
        <w:t xml:space="preserve"> </w:t>
      </w:r>
      <w:r w:rsidR="00552F98" w:rsidRPr="00552F98">
        <w:rPr>
          <w:rFonts w:ascii="Arial" w:hAnsi="Arial" w:cs="Arial"/>
          <w:sz w:val="24"/>
          <w:szCs w:val="24"/>
        </w:rPr>
        <w:t>Contained in this treaty is a profound idea: that children are not just objects who belong to their parents and for whom decisions are made, or adults in training. Rather, they are human beings and individuals with their own rights. The UNCRC consists of 54 articles that spell out children’s rights and how governments should work together to make them available to all children</w:t>
      </w:r>
      <w:r w:rsidR="001A50EE">
        <w:rPr>
          <w:rFonts w:ascii="Arial" w:hAnsi="Arial" w:cs="Arial"/>
          <w:sz w:val="24"/>
          <w:szCs w:val="24"/>
        </w:rPr>
        <w:t xml:space="preserve">. </w:t>
      </w:r>
      <w:r w:rsidR="001F6299" w:rsidRPr="001A50EE">
        <w:rPr>
          <w:rFonts w:ascii="Arial" w:hAnsi="Arial" w:cs="Arial"/>
          <w:sz w:val="24"/>
          <w:szCs w:val="24"/>
        </w:rPr>
        <w:t>The</w:t>
      </w:r>
      <w:r w:rsidR="001A50EE" w:rsidRPr="001A50EE">
        <w:rPr>
          <w:rFonts w:ascii="Arial" w:hAnsi="Arial" w:cs="Arial"/>
          <w:sz w:val="24"/>
          <w:szCs w:val="24"/>
        </w:rPr>
        <w:t xml:space="preserve"> first 42 articles are of a normative character. The Convention is all encompassing and sets up a holistic approach where civil, political, economic, social and cultural rights are included, all being of importance for safeguarding the dignity of the child and a harmonious development of his personality. A child is defined as “every human being below the age of eighteen years. Unless, under the law applicable to the child, majority is attained earlier” (Article 1 of the Convention).</w:t>
      </w:r>
    </w:p>
    <w:p w:rsidR="00A77126" w:rsidRPr="00A77126" w:rsidRDefault="00A77126" w:rsidP="00A77126">
      <w:pPr>
        <w:spacing w:line="360" w:lineRule="auto"/>
        <w:rPr>
          <w:rFonts w:ascii="Arial" w:hAnsi="Arial" w:cs="Arial"/>
          <w:sz w:val="24"/>
          <w:szCs w:val="24"/>
        </w:rPr>
      </w:pPr>
      <w:r w:rsidRPr="00A77126">
        <w:rPr>
          <w:rFonts w:ascii="Arial" w:hAnsi="Arial" w:cs="Arial"/>
          <w:sz w:val="24"/>
          <w:szCs w:val="24"/>
        </w:rPr>
        <w:t>Three Optional Protocols have been added to UNCRC so that it addresses issues that have emerged since the original treaty was adopted. These cover:</w:t>
      </w:r>
    </w:p>
    <w:p w:rsidR="00122F04" w:rsidRPr="00122F04" w:rsidRDefault="00D41B5D" w:rsidP="00D41B5D">
      <w:pPr>
        <w:pStyle w:val="ListParagraph"/>
        <w:numPr>
          <w:ilvl w:val="0"/>
          <w:numId w:val="1"/>
        </w:numPr>
        <w:spacing w:line="360" w:lineRule="auto"/>
        <w:rPr>
          <w:rFonts w:ascii="Arial" w:hAnsi="Arial" w:cs="Arial"/>
          <w:sz w:val="24"/>
          <w:szCs w:val="24"/>
        </w:rPr>
      </w:pPr>
      <w:r w:rsidRPr="00D41B5D">
        <w:rPr>
          <w:rFonts w:ascii="Arial" w:hAnsi="Arial" w:cs="Arial"/>
          <w:sz w:val="24"/>
          <w:szCs w:val="24"/>
        </w:rPr>
        <w:t>Optional Protocol on the</w:t>
      </w:r>
      <w:r w:rsidR="00A77126" w:rsidRPr="00122F04">
        <w:rPr>
          <w:rFonts w:ascii="Arial" w:hAnsi="Arial" w:cs="Arial"/>
          <w:sz w:val="24"/>
          <w:szCs w:val="24"/>
        </w:rPr>
        <w:t xml:space="preserve"> sale of children, child prostitution and child </w:t>
      </w:r>
      <w:r w:rsidR="00122F04" w:rsidRPr="00122F04">
        <w:rPr>
          <w:rFonts w:ascii="Arial" w:hAnsi="Arial" w:cs="Arial"/>
          <w:sz w:val="24"/>
          <w:szCs w:val="24"/>
        </w:rPr>
        <w:t>pornography</w:t>
      </w:r>
      <w:r>
        <w:rPr>
          <w:rFonts w:ascii="Arial" w:hAnsi="Arial" w:cs="Arial"/>
          <w:sz w:val="24"/>
          <w:szCs w:val="24"/>
        </w:rPr>
        <w:t>-</w:t>
      </w:r>
      <w:r w:rsidR="00122F04" w:rsidRPr="00122F04">
        <w:rPr>
          <w:rFonts w:ascii="Arial" w:hAnsi="Arial" w:cs="Arial"/>
          <w:sz w:val="24"/>
          <w:szCs w:val="24"/>
        </w:rPr>
        <w:t xml:space="preserve"> requires parties to prohibit the sale of children, child prostitution and child pornography.</w:t>
      </w:r>
      <w:r w:rsidR="00A77126" w:rsidRPr="00122F04">
        <w:rPr>
          <w:rFonts w:ascii="Arial" w:hAnsi="Arial" w:cs="Arial"/>
          <w:sz w:val="24"/>
          <w:szCs w:val="24"/>
        </w:rPr>
        <w:t xml:space="preserve"> </w:t>
      </w:r>
      <w:r>
        <w:rPr>
          <w:rFonts w:ascii="Arial" w:hAnsi="Arial" w:cs="Arial"/>
          <w:sz w:val="24"/>
          <w:szCs w:val="24"/>
        </w:rPr>
        <w:t>Adopted in 2000</w:t>
      </w:r>
      <w:r w:rsidR="00A77126" w:rsidRPr="00122F04">
        <w:rPr>
          <w:rFonts w:ascii="Arial" w:hAnsi="Arial" w:cs="Arial"/>
          <w:sz w:val="24"/>
          <w:szCs w:val="24"/>
        </w:rPr>
        <w:t xml:space="preserve">   </w:t>
      </w:r>
    </w:p>
    <w:p w:rsidR="00A77126" w:rsidRPr="00122F04" w:rsidRDefault="00A77126" w:rsidP="00BD5807">
      <w:pPr>
        <w:pStyle w:val="ListParagraph"/>
        <w:numPr>
          <w:ilvl w:val="0"/>
          <w:numId w:val="1"/>
        </w:numPr>
        <w:spacing w:line="360" w:lineRule="auto"/>
        <w:rPr>
          <w:rFonts w:ascii="Arial" w:hAnsi="Arial" w:cs="Arial"/>
          <w:sz w:val="24"/>
          <w:szCs w:val="24"/>
        </w:rPr>
      </w:pPr>
      <w:r w:rsidRPr="00122F04">
        <w:rPr>
          <w:rFonts w:ascii="Arial" w:hAnsi="Arial" w:cs="Arial"/>
          <w:sz w:val="24"/>
          <w:szCs w:val="24"/>
        </w:rPr>
        <w:t>The involvement in armed conflict</w:t>
      </w:r>
      <w:r w:rsidR="005F108A">
        <w:rPr>
          <w:rFonts w:ascii="Arial" w:hAnsi="Arial" w:cs="Arial"/>
          <w:sz w:val="24"/>
          <w:szCs w:val="24"/>
        </w:rPr>
        <w:t xml:space="preserve">- </w:t>
      </w:r>
      <w:r w:rsidR="005F108A" w:rsidRPr="005F108A">
        <w:rPr>
          <w:rFonts w:ascii="Arial" w:hAnsi="Arial" w:cs="Arial"/>
          <w:sz w:val="24"/>
          <w:szCs w:val="24"/>
        </w:rPr>
        <w:t>also known as the child soldier treaty</w:t>
      </w:r>
      <w:r w:rsidR="00BD5807">
        <w:rPr>
          <w:rFonts w:ascii="Arial" w:hAnsi="Arial" w:cs="Arial"/>
          <w:sz w:val="24"/>
          <w:szCs w:val="24"/>
        </w:rPr>
        <w:t xml:space="preserve">. </w:t>
      </w:r>
      <w:r w:rsidR="00BD5807" w:rsidRPr="00BD5807">
        <w:rPr>
          <w:rFonts w:ascii="Arial" w:hAnsi="Arial" w:cs="Arial"/>
          <w:sz w:val="24"/>
          <w:szCs w:val="24"/>
        </w:rPr>
        <w:t>The Optional protocol is a commitment that: States will not recruit children under the age of 18 to send them to the battlefield. States will not conscript soldiers below the age of 18.</w:t>
      </w:r>
    </w:p>
    <w:p w:rsidR="00A77126" w:rsidRPr="00122F04" w:rsidRDefault="00A77126" w:rsidP="00C25998">
      <w:pPr>
        <w:pStyle w:val="ListParagraph"/>
        <w:numPr>
          <w:ilvl w:val="0"/>
          <w:numId w:val="1"/>
        </w:numPr>
        <w:spacing w:line="360" w:lineRule="auto"/>
        <w:rPr>
          <w:rFonts w:ascii="Arial" w:hAnsi="Arial" w:cs="Arial"/>
          <w:sz w:val="24"/>
          <w:szCs w:val="24"/>
        </w:rPr>
      </w:pPr>
      <w:r w:rsidRPr="00122F04">
        <w:rPr>
          <w:rFonts w:ascii="Arial" w:hAnsi="Arial" w:cs="Arial"/>
          <w:sz w:val="24"/>
          <w:szCs w:val="24"/>
        </w:rPr>
        <w:t>A communications procedure which allows children whose rights have been violated to complain to the UN Committee on the Rights of the Child</w:t>
      </w:r>
      <w:r w:rsidR="00C25998" w:rsidRPr="00122F04">
        <w:rPr>
          <w:rFonts w:ascii="Arial" w:hAnsi="Arial" w:cs="Arial"/>
          <w:sz w:val="24"/>
          <w:szCs w:val="24"/>
        </w:rPr>
        <w:t>.</w:t>
      </w:r>
      <w:r w:rsidR="00C25998">
        <w:rPr>
          <w:rFonts w:ascii="Arial" w:hAnsi="Arial" w:cs="Arial"/>
          <w:sz w:val="24"/>
          <w:szCs w:val="24"/>
        </w:rPr>
        <w:t xml:space="preserve"> - </w:t>
      </w:r>
      <w:r w:rsidR="00C25998" w:rsidRPr="00C25998">
        <w:rPr>
          <w:rFonts w:ascii="Arial" w:hAnsi="Arial" w:cs="Arial"/>
          <w:sz w:val="24"/>
          <w:szCs w:val="24"/>
        </w:rPr>
        <w:t>The Optional Protocol on a Communications Procedure (OPCP) recognizes that children have the right to appeal to an international mechanism specific to them, when national mechanisms fail to address violations effectively.</w:t>
      </w:r>
    </w:p>
    <w:p w:rsidR="001F6299" w:rsidRPr="001F6299" w:rsidRDefault="001F6299" w:rsidP="00552F98">
      <w:pPr>
        <w:spacing w:line="360" w:lineRule="auto"/>
        <w:rPr>
          <w:rFonts w:ascii="Arial" w:hAnsi="Arial" w:cs="Arial"/>
          <w:b/>
          <w:sz w:val="24"/>
          <w:szCs w:val="24"/>
        </w:rPr>
      </w:pPr>
      <w:r w:rsidRPr="001F6299">
        <w:rPr>
          <w:rFonts w:ascii="Arial" w:hAnsi="Arial" w:cs="Arial"/>
          <w:b/>
          <w:sz w:val="24"/>
          <w:szCs w:val="24"/>
        </w:rPr>
        <w:t>Principles of the convention</w:t>
      </w:r>
    </w:p>
    <w:p w:rsidR="00190BD5" w:rsidRDefault="001F6299" w:rsidP="00552F98">
      <w:pPr>
        <w:spacing w:line="360" w:lineRule="auto"/>
        <w:rPr>
          <w:rFonts w:ascii="Arial" w:hAnsi="Arial" w:cs="Arial"/>
          <w:sz w:val="24"/>
          <w:szCs w:val="24"/>
        </w:rPr>
      </w:pPr>
      <w:r w:rsidRPr="001F6299">
        <w:rPr>
          <w:rFonts w:ascii="Arial" w:hAnsi="Arial" w:cs="Arial"/>
          <w:sz w:val="24"/>
          <w:szCs w:val="24"/>
        </w:rPr>
        <w:t xml:space="preserve">Four general principles have guided the authors of the Convention, and later been highlighted by the committee on the Rights in the General Guidelines as the core message of the Convention. </w:t>
      </w:r>
    </w:p>
    <w:p w:rsidR="00190BD5"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 xml:space="preserve">Firstly, the principle of the full and equal value of children and that each child shall enjoy the rights set out in the convention without discrimination (Article 2 and 4 of the Convention.) </w:t>
      </w:r>
    </w:p>
    <w:p w:rsidR="00190BD5"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 xml:space="preserve">Secondly, the principle that in all actions concerning children the best interest of the child shall be the primarily consideration (Article 3 of the Convention). </w:t>
      </w:r>
    </w:p>
    <w:p w:rsidR="00190BD5"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 xml:space="preserve">Thirdly, the principle of the right to life does not only entail the right to be protected against being killed but a right to survival and development (Article 6 of the Convention). </w:t>
      </w:r>
    </w:p>
    <w:p w:rsidR="001F6299"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Lastly, the principle that children, who are capable of forming their own views, shall also have the right to participate and express their views, which shall be duly respected (Article 12 of the Convention).</w:t>
      </w:r>
    </w:p>
    <w:p w:rsidR="008B2C02" w:rsidRDefault="008B2C02" w:rsidP="00552F98">
      <w:pPr>
        <w:spacing w:line="360" w:lineRule="auto"/>
        <w:rPr>
          <w:rFonts w:ascii="Arial" w:hAnsi="Arial" w:cs="Arial"/>
          <w:b/>
          <w:sz w:val="24"/>
          <w:szCs w:val="24"/>
        </w:rPr>
      </w:pPr>
    </w:p>
    <w:p w:rsidR="006C6ACF" w:rsidRPr="006C6ACF" w:rsidRDefault="006C6ACF" w:rsidP="00552F98">
      <w:pPr>
        <w:spacing w:line="360" w:lineRule="auto"/>
        <w:rPr>
          <w:rFonts w:ascii="Arial" w:hAnsi="Arial" w:cs="Arial"/>
          <w:b/>
          <w:sz w:val="24"/>
          <w:szCs w:val="24"/>
        </w:rPr>
      </w:pPr>
      <w:r w:rsidRPr="006C6ACF">
        <w:rPr>
          <w:rFonts w:ascii="Arial" w:hAnsi="Arial" w:cs="Arial"/>
          <w:b/>
          <w:sz w:val="24"/>
          <w:szCs w:val="24"/>
        </w:rPr>
        <w:t>Monitoring of the convention</w:t>
      </w:r>
    </w:p>
    <w:p w:rsidR="00667BA5" w:rsidRPr="008B2C02" w:rsidRDefault="006C6ACF" w:rsidP="006C6ACF">
      <w:pPr>
        <w:spacing w:line="360" w:lineRule="auto"/>
        <w:rPr>
          <w:rFonts w:ascii="Arial" w:hAnsi="Arial" w:cs="Arial"/>
          <w:sz w:val="24"/>
          <w:szCs w:val="24"/>
        </w:rPr>
      </w:pPr>
      <w:r>
        <w:rPr>
          <w:rFonts w:ascii="Arial" w:hAnsi="Arial" w:cs="Arial"/>
          <w:sz w:val="24"/>
          <w:szCs w:val="24"/>
        </w:rPr>
        <w:t xml:space="preserve">Article 43 provides for the treaty body responsible for monitoring the provisions of the convention. </w:t>
      </w:r>
      <w:r w:rsidRPr="006C6ACF">
        <w:rPr>
          <w:rFonts w:ascii="Arial" w:hAnsi="Arial" w:cs="Arial"/>
          <w:sz w:val="24"/>
          <w:szCs w:val="24"/>
        </w:rPr>
        <w:t>For the purpose of examining the progress made by States Parties in achieving the realization of the obligations undertaken in the present Convention, there shall be established a Committee on the Rights of the Child, which shall carry out the functions hereinafter provided</w:t>
      </w:r>
      <w:r>
        <w:rPr>
          <w:rFonts w:ascii="Arial" w:hAnsi="Arial" w:cs="Arial"/>
          <w:sz w:val="24"/>
          <w:szCs w:val="24"/>
        </w:rPr>
        <w:t>.</w:t>
      </w:r>
      <w:r w:rsidRPr="006C6ACF">
        <w:rPr>
          <w:rFonts w:ascii="Arial" w:hAnsi="Arial" w:cs="Arial"/>
          <w:sz w:val="24"/>
          <w:szCs w:val="24"/>
        </w:rPr>
        <w:t xml:space="preserve"> The Committee shall consist of eighteen experts of high moral standing and recognized competence in the fiel</w:t>
      </w:r>
      <w:r>
        <w:rPr>
          <w:rFonts w:ascii="Arial" w:hAnsi="Arial" w:cs="Arial"/>
          <w:sz w:val="24"/>
          <w:szCs w:val="24"/>
        </w:rPr>
        <w:t>d covered by this Convention.</w:t>
      </w:r>
      <w:r w:rsidRPr="006C6ACF">
        <w:rPr>
          <w:rFonts w:ascii="Arial" w:hAnsi="Arial" w:cs="Arial"/>
          <w:sz w:val="24"/>
          <w:szCs w:val="24"/>
        </w:rPr>
        <w:t xml:space="preserve"> The members of the Committee shall be elected by States Parties from among their nationals and shall serve in their personal capacity, consideration being given to equitable geographical distribution, as well as </w:t>
      </w:r>
      <w:r>
        <w:rPr>
          <w:rFonts w:ascii="Arial" w:hAnsi="Arial" w:cs="Arial"/>
          <w:sz w:val="24"/>
          <w:szCs w:val="24"/>
        </w:rPr>
        <w:t>to the principal legal systems.</w:t>
      </w:r>
      <w:r w:rsidRPr="006C6ACF">
        <w:rPr>
          <w:rFonts w:ascii="Arial" w:hAnsi="Arial" w:cs="Arial"/>
          <w:sz w:val="24"/>
          <w:szCs w:val="24"/>
        </w:rPr>
        <w:t xml:space="preserve"> The members of the Committee shall be elected by secret ballot from a list of persons nominated by States Parties. Each State Party may nominate one person from among its own nationals.</w:t>
      </w:r>
    </w:p>
    <w:p w:rsidR="00667BA5" w:rsidRPr="00667BA5" w:rsidRDefault="00667BA5" w:rsidP="006C6ACF">
      <w:pPr>
        <w:spacing w:line="360" w:lineRule="auto"/>
        <w:rPr>
          <w:rFonts w:ascii="Arial" w:hAnsi="Arial" w:cs="Arial"/>
          <w:b/>
          <w:sz w:val="24"/>
          <w:szCs w:val="24"/>
        </w:rPr>
      </w:pPr>
      <w:r w:rsidRPr="00667BA5">
        <w:rPr>
          <w:rFonts w:ascii="Arial" w:hAnsi="Arial" w:cs="Arial"/>
          <w:b/>
          <w:sz w:val="24"/>
          <w:szCs w:val="24"/>
        </w:rPr>
        <w:t xml:space="preserve">Child rights in Zambia </w:t>
      </w:r>
    </w:p>
    <w:p w:rsidR="00D21CDF" w:rsidRDefault="000212E4" w:rsidP="00667BA5">
      <w:pPr>
        <w:spacing w:line="360" w:lineRule="auto"/>
        <w:rPr>
          <w:rFonts w:ascii="Arial" w:hAnsi="Arial" w:cs="Arial"/>
          <w:sz w:val="24"/>
          <w:szCs w:val="24"/>
        </w:rPr>
      </w:pPr>
      <w:r w:rsidRPr="000212E4">
        <w:rPr>
          <w:rFonts w:ascii="Arial" w:hAnsi="Arial" w:cs="Arial"/>
          <w:sz w:val="24"/>
          <w:szCs w:val="24"/>
        </w:rPr>
        <w:t xml:space="preserve">Over the years, Zambia has signed two Children Rights declarations: </w:t>
      </w:r>
      <w:r w:rsidRPr="00B61F09">
        <w:rPr>
          <w:rFonts w:ascii="Arial" w:hAnsi="Arial" w:cs="Arial"/>
          <w:b/>
          <w:sz w:val="24"/>
          <w:szCs w:val="24"/>
        </w:rPr>
        <w:t>The United Nations Convention on the Rights of the Child, ratified it in 1991, and the African Charter on the Rights and Welfare of the Child</w:t>
      </w:r>
      <w:r w:rsidRPr="000212E4">
        <w:rPr>
          <w:rFonts w:ascii="Arial" w:hAnsi="Arial" w:cs="Arial"/>
          <w:sz w:val="24"/>
          <w:szCs w:val="24"/>
        </w:rPr>
        <w:t>.</w:t>
      </w:r>
      <w:r>
        <w:rPr>
          <w:rFonts w:ascii="Arial" w:hAnsi="Arial" w:cs="Arial"/>
          <w:sz w:val="24"/>
          <w:szCs w:val="24"/>
        </w:rPr>
        <w:t xml:space="preserve"> </w:t>
      </w:r>
      <w:r w:rsidR="00667BA5" w:rsidRPr="00667BA5">
        <w:rPr>
          <w:rFonts w:ascii="Arial" w:hAnsi="Arial" w:cs="Arial"/>
          <w:sz w:val="24"/>
          <w:szCs w:val="24"/>
        </w:rPr>
        <w:t>Significant progress has been in improving the legal framework of Zambia in protecting the rights of children and in increasing compliance with the Conven</w:t>
      </w:r>
      <w:r w:rsidR="00667BA5">
        <w:rPr>
          <w:rFonts w:ascii="Arial" w:hAnsi="Arial" w:cs="Arial"/>
          <w:sz w:val="24"/>
          <w:szCs w:val="24"/>
        </w:rPr>
        <w:t xml:space="preserve">tion on the Rights of the Child. </w:t>
      </w:r>
    </w:p>
    <w:p w:rsidR="00D21CDF" w:rsidRPr="00140007" w:rsidRDefault="00D21CDF" w:rsidP="00CF0BB4">
      <w:pPr>
        <w:spacing w:line="360" w:lineRule="auto"/>
        <w:rPr>
          <w:rFonts w:ascii="Arial" w:hAnsi="Arial" w:cs="Arial"/>
          <w:sz w:val="24"/>
          <w:szCs w:val="24"/>
        </w:rPr>
      </w:pPr>
      <w:r w:rsidRPr="00D21CDF">
        <w:rPr>
          <w:rFonts w:ascii="Arial" w:hAnsi="Arial" w:cs="Arial"/>
          <w:sz w:val="24"/>
          <w:szCs w:val="24"/>
        </w:rPr>
        <w:t>Zambia’s laws forbid many types of violence against children, but legal gaps and/or a lack of clarity remain that limit the scope of perceived protection in specific cases. The Zambian Constitution mandates general provisions that prohibit mental violence (Article 11) and any form of torture or other cruel, inhumane or degrading treatment or punishment (Article 15) against children and citizens alike. Zambian law also tackles gender-based violence and violence by caregivers and guardians against children that includes physical assault, ill-treatment, neglect and mental harm. There is a question of harmony between international standards and Zambian law on corporal punishment in specific settings. The Education Act prohibits the use of corporal punishment or degrading treatment in education institutions (Section 28).</w:t>
      </w:r>
      <w:r w:rsidR="00F47955" w:rsidRPr="00F47955">
        <w:t xml:space="preserve"> </w:t>
      </w:r>
      <w:r w:rsidR="00F47955" w:rsidRPr="00F47955">
        <w:rPr>
          <w:rFonts w:ascii="Arial" w:hAnsi="Arial" w:cs="Arial"/>
          <w:sz w:val="24"/>
          <w:szCs w:val="24"/>
        </w:rPr>
        <w:t>Of particular significance to the issue of corporal punishment is article 19(1) which the Committee on the Rights of the Child has interpreted to call for a complete prohibition of all forms of corporal punishment of children. Similarly, on a regional level, the African Charter on the Rights and Welfare of the Child also contains a provision that relates to the protection of children against child abuse, torture and inhuman and degrading treatment.</w:t>
      </w:r>
      <w:r w:rsidRPr="00D21CDF">
        <w:rPr>
          <w:rFonts w:ascii="Arial" w:hAnsi="Arial" w:cs="Arial"/>
          <w:sz w:val="24"/>
          <w:szCs w:val="24"/>
        </w:rPr>
        <w:t xml:space="preserve"> In the setting of criminal justice institutions, Zambia’s High Court ruled in the c</w:t>
      </w:r>
      <w:r>
        <w:rPr>
          <w:rFonts w:ascii="Arial" w:hAnsi="Arial" w:cs="Arial"/>
          <w:sz w:val="24"/>
          <w:szCs w:val="24"/>
        </w:rPr>
        <w:t xml:space="preserve">ase of </w:t>
      </w:r>
      <w:r w:rsidRPr="00C62696">
        <w:rPr>
          <w:rFonts w:ascii="Arial" w:hAnsi="Arial" w:cs="Arial"/>
          <w:b/>
          <w:sz w:val="24"/>
          <w:szCs w:val="24"/>
          <w:u w:val="single"/>
        </w:rPr>
        <w:t>John Banda v. the People</w:t>
      </w:r>
      <w:r>
        <w:rPr>
          <w:rStyle w:val="FootnoteReference"/>
          <w:rFonts w:ascii="Arial" w:hAnsi="Arial" w:cs="Arial"/>
          <w:sz w:val="24"/>
          <w:szCs w:val="24"/>
        </w:rPr>
        <w:footnoteReference w:id="4"/>
      </w:r>
      <w:r w:rsidRPr="00D21CDF">
        <w:rPr>
          <w:rFonts w:ascii="Arial" w:hAnsi="Arial" w:cs="Arial"/>
          <w:sz w:val="24"/>
          <w:szCs w:val="24"/>
        </w:rPr>
        <w:t xml:space="preserve"> that the state could not impose corporal punishment as a sentence for a crime (as previously allowed under the Juveniles Act, Section 73). At the same time, the Juveniles Act (Section 46) permits caregivers and guardians to administer lawful punishment against children without definition of “lawful punishment”</w:t>
      </w:r>
      <w:r w:rsidR="00CF0BB4">
        <w:rPr>
          <w:rFonts w:ascii="Arial" w:hAnsi="Arial" w:cs="Arial"/>
          <w:sz w:val="24"/>
          <w:szCs w:val="24"/>
        </w:rPr>
        <w:t xml:space="preserve">. </w:t>
      </w:r>
      <w:r w:rsidR="00CF0BB4" w:rsidRPr="00CF0BB4">
        <w:rPr>
          <w:rFonts w:ascii="Arial" w:hAnsi="Arial" w:cs="Arial"/>
          <w:sz w:val="24"/>
          <w:szCs w:val="24"/>
        </w:rPr>
        <w:t>In 1999 the High Court heard an appeal against a sentence of ten strokes of the cane handed down by the magistrates’ court (John Banda v The People HP A/6/1998). The court set aside the sentence of corporal punishment against the appellant. It further found that the sections providing for the use of corporal punishment as a sentence were in direct conflict with article 15 of the Zambian Constitution, declared them unconstitutional and ordered that they should b</w:t>
      </w:r>
      <w:r w:rsidR="00CF0BB4">
        <w:rPr>
          <w:rFonts w:ascii="Arial" w:hAnsi="Arial" w:cs="Arial"/>
          <w:sz w:val="24"/>
          <w:szCs w:val="24"/>
        </w:rPr>
        <w:t xml:space="preserve">e repealed from the Penal Code. </w:t>
      </w:r>
      <w:r w:rsidR="00CF0BB4" w:rsidRPr="00145E46">
        <w:rPr>
          <w:rFonts w:ascii="Arial" w:hAnsi="Arial" w:cs="Arial"/>
          <w:sz w:val="24"/>
          <w:szCs w:val="24"/>
          <w:u w:val="single"/>
        </w:rPr>
        <w:t>Subsequent law reform included among others:</w:t>
      </w:r>
      <w:r w:rsidR="00CF0BB4">
        <w:rPr>
          <w:rFonts w:ascii="Arial" w:hAnsi="Arial" w:cs="Arial"/>
          <w:sz w:val="24"/>
          <w:szCs w:val="24"/>
        </w:rPr>
        <w:t xml:space="preserve"> </w:t>
      </w:r>
      <w:r w:rsidR="00CF0BB4" w:rsidRPr="00CF0BB4">
        <w:rPr>
          <w:rFonts w:ascii="Arial" w:hAnsi="Arial" w:cs="Arial"/>
          <w:sz w:val="24"/>
          <w:szCs w:val="24"/>
        </w:rPr>
        <w:t>A number of penal laws have been repealed/amended to reflect the above High Court judgment – provisions authorising “disciplinary” corporal punishment in the Prisons Act 1966, provisions authorising judicial corporal punishment in the Penal Code 1931, the Supreme Court Act, the Local Courts Act, the Criminal Procedure Code 1934 and the Reformatory School Rules 1965.</w:t>
      </w:r>
      <w:r w:rsidR="00E51BE8" w:rsidRPr="00E51BE8">
        <w:t xml:space="preserve"> </w:t>
      </w:r>
      <w:r w:rsidR="00E51BE8" w:rsidRPr="00E51BE8">
        <w:rPr>
          <w:rFonts w:ascii="Arial" w:hAnsi="Arial" w:cs="Arial"/>
          <w:sz w:val="24"/>
          <w:szCs w:val="24"/>
        </w:rPr>
        <w:t xml:space="preserve">The provisions relating to corporal punishment in the Penal Code were amended by the Penal Code Amendment Act (10 of 2003). These amendments included the repeal of </w:t>
      </w:r>
      <w:r w:rsidR="00E51BE8" w:rsidRPr="005C5B76">
        <w:rPr>
          <w:rFonts w:ascii="Arial" w:hAnsi="Arial" w:cs="Arial"/>
          <w:b/>
          <w:sz w:val="24"/>
          <w:szCs w:val="24"/>
        </w:rPr>
        <w:t>section 24(c)</w:t>
      </w:r>
      <w:r w:rsidR="00E51BE8" w:rsidRPr="00E51BE8">
        <w:rPr>
          <w:rFonts w:ascii="Arial" w:hAnsi="Arial" w:cs="Arial"/>
          <w:sz w:val="24"/>
          <w:szCs w:val="24"/>
        </w:rPr>
        <w:t xml:space="preserve"> of the Penal Code which allowed for the imposition of corporal punishment as a sentence by the court, and also the repeal of </w:t>
      </w:r>
      <w:r w:rsidR="00E51BE8" w:rsidRPr="005C5B76">
        <w:rPr>
          <w:rFonts w:ascii="Arial" w:hAnsi="Arial" w:cs="Arial"/>
          <w:b/>
          <w:sz w:val="24"/>
          <w:szCs w:val="24"/>
        </w:rPr>
        <w:t>section 27</w:t>
      </w:r>
      <w:r w:rsidR="00E51BE8" w:rsidRPr="00E51BE8">
        <w:rPr>
          <w:rFonts w:ascii="Arial" w:hAnsi="Arial" w:cs="Arial"/>
          <w:sz w:val="24"/>
          <w:szCs w:val="24"/>
        </w:rPr>
        <w:t xml:space="preserve"> which specified the circumstances and the manner in which the corporal punishment should be carried out. </w:t>
      </w:r>
      <w:r w:rsidR="00E51BE8" w:rsidRPr="005C5B76">
        <w:rPr>
          <w:rFonts w:ascii="Arial" w:hAnsi="Arial" w:cs="Arial"/>
          <w:b/>
          <w:sz w:val="24"/>
          <w:szCs w:val="24"/>
        </w:rPr>
        <w:t>Section 36(c),</w:t>
      </w:r>
      <w:r w:rsidR="00E51BE8" w:rsidRPr="00E51BE8">
        <w:rPr>
          <w:rFonts w:ascii="Arial" w:hAnsi="Arial" w:cs="Arial"/>
          <w:sz w:val="24"/>
          <w:szCs w:val="24"/>
        </w:rPr>
        <w:t xml:space="preserve"> which allowed the court to impose a sentence of corporal punishment in addition to any other punishment inflicted by the court, was also repealed.</w:t>
      </w:r>
      <w:r w:rsidR="00140007" w:rsidRPr="00140007">
        <w:t xml:space="preserve"> </w:t>
      </w:r>
      <w:r w:rsidR="00140007" w:rsidRPr="00140007">
        <w:rPr>
          <w:rFonts w:ascii="Arial" w:hAnsi="Arial" w:cs="Arial"/>
          <w:sz w:val="24"/>
          <w:szCs w:val="24"/>
        </w:rPr>
        <w:t xml:space="preserve">The use of corporal punishment in schools has also been abolished. </w:t>
      </w:r>
      <w:r w:rsidR="00140007" w:rsidRPr="005C5B76">
        <w:rPr>
          <w:rFonts w:ascii="Arial" w:hAnsi="Arial" w:cs="Arial"/>
          <w:b/>
          <w:sz w:val="24"/>
          <w:szCs w:val="24"/>
        </w:rPr>
        <w:t xml:space="preserve">Section 12 </w:t>
      </w:r>
      <w:r w:rsidR="00140007" w:rsidRPr="00140007">
        <w:rPr>
          <w:rFonts w:ascii="Arial" w:hAnsi="Arial" w:cs="Arial"/>
          <w:sz w:val="24"/>
          <w:szCs w:val="24"/>
        </w:rPr>
        <w:t>of the Education Act (Chapter 134 of the Laws of Zambia) was amended by the Education Amendment Act (11 of 2003) to prohibit the use of corporal punishment in schools</w:t>
      </w:r>
      <w:r w:rsidR="00116ED5">
        <w:rPr>
          <w:rFonts w:ascii="Arial" w:hAnsi="Arial" w:cs="Arial"/>
          <w:sz w:val="24"/>
          <w:szCs w:val="24"/>
        </w:rPr>
        <w:t xml:space="preserve">. </w:t>
      </w:r>
      <w:r w:rsidR="00116ED5" w:rsidRPr="00116ED5">
        <w:rPr>
          <w:rFonts w:ascii="Arial" w:hAnsi="Arial" w:cs="Arial"/>
          <w:sz w:val="24"/>
          <w:szCs w:val="24"/>
        </w:rPr>
        <w:t xml:space="preserve">The Prisons Amendment Act (16 of 2004) amended and repealed various sections in the Prisons Act (Chapter 97 of the Laws of Zambia) relating to the use of corporal punishment. These included the deletion of parts of </w:t>
      </w:r>
      <w:r w:rsidR="00116ED5" w:rsidRPr="005C5B76">
        <w:rPr>
          <w:rFonts w:ascii="Arial" w:hAnsi="Arial" w:cs="Arial"/>
          <w:b/>
          <w:sz w:val="24"/>
          <w:szCs w:val="24"/>
        </w:rPr>
        <w:t>section 33</w:t>
      </w:r>
      <w:r w:rsidR="00116ED5" w:rsidRPr="00116ED5">
        <w:rPr>
          <w:rFonts w:ascii="Arial" w:hAnsi="Arial" w:cs="Arial"/>
          <w:sz w:val="24"/>
          <w:szCs w:val="24"/>
        </w:rPr>
        <w:t xml:space="preserve"> of the Prisons Act which allowed for a prison official or any other person to be liable for a sentence of corporal punishment upon being found guilty of mutiny or sedition among prison officers or prisoners.</w:t>
      </w:r>
    </w:p>
    <w:p w:rsidR="00667BA5" w:rsidRDefault="00667BA5" w:rsidP="00667BA5">
      <w:pPr>
        <w:spacing w:line="360" w:lineRule="auto"/>
        <w:rPr>
          <w:rFonts w:ascii="Arial" w:hAnsi="Arial" w:cs="Arial"/>
          <w:sz w:val="24"/>
          <w:szCs w:val="24"/>
        </w:rPr>
      </w:pPr>
      <w:r w:rsidRPr="00667BA5">
        <w:rPr>
          <w:rFonts w:ascii="Arial" w:hAnsi="Arial" w:cs="Arial"/>
          <w:sz w:val="24"/>
          <w:szCs w:val="24"/>
        </w:rPr>
        <w:t>Other enhancements include the establishment of a Family Court and a Child Friendly Court as bra</w:t>
      </w:r>
      <w:r>
        <w:rPr>
          <w:rFonts w:ascii="Arial" w:hAnsi="Arial" w:cs="Arial"/>
          <w:sz w:val="24"/>
          <w:szCs w:val="24"/>
        </w:rPr>
        <w:t xml:space="preserve">nches of the High Court in 2016 </w:t>
      </w:r>
      <w:r w:rsidRPr="00667BA5">
        <w:rPr>
          <w:rFonts w:ascii="Arial" w:hAnsi="Arial" w:cs="Arial"/>
          <w:sz w:val="24"/>
          <w:szCs w:val="24"/>
        </w:rPr>
        <w:t>and the Penal Code Amendment Act which provides for 5 years imprisonment for assault on a child and 15 years to life imprisonment for child defilement</w:t>
      </w:r>
      <w:r w:rsidR="00887BE9">
        <w:rPr>
          <w:rFonts w:ascii="Arial" w:hAnsi="Arial" w:cs="Arial"/>
          <w:sz w:val="24"/>
          <w:szCs w:val="24"/>
        </w:rPr>
        <w:t xml:space="preserve">. </w:t>
      </w:r>
    </w:p>
    <w:p w:rsidR="00887BE9" w:rsidRDefault="00887BE9" w:rsidP="00667BA5">
      <w:pPr>
        <w:spacing w:line="360" w:lineRule="auto"/>
        <w:rPr>
          <w:rFonts w:ascii="Arial" w:hAnsi="Arial" w:cs="Arial"/>
          <w:sz w:val="24"/>
          <w:szCs w:val="24"/>
        </w:rPr>
      </w:pPr>
      <w:r w:rsidRPr="00887BE9">
        <w:rPr>
          <w:rFonts w:ascii="Arial" w:hAnsi="Arial" w:cs="Arial"/>
          <w:sz w:val="24"/>
          <w:szCs w:val="24"/>
        </w:rPr>
        <w:t>Zambia’s Anti Gender-Based Violence Act protects victims of gender-based violence, whether it is the infliction of physical, sexual or mental injury and names female genital mutilation as a form of abuse under the law. Laws forbidding child labour are also strong. Zambia’s family law sets the minimum age of marriage at 21 but provides an exception that allows children to marry with parental consent. Aside from positive law, the government recognises customary law, which does not ascribe any minimum age of marriage.</w:t>
      </w:r>
    </w:p>
    <w:p w:rsidR="00BF1C32" w:rsidRPr="00F47955" w:rsidRDefault="00BF1C32" w:rsidP="00667BA5">
      <w:pPr>
        <w:spacing w:line="360" w:lineRule="auto"/>
        <w:rPr>
          <w:rFonts w:ascii="Arial" w:hAnsi="Arial" w:cs="Arial"/>
          <w:sz w:val="24"/>
          <w:szCs w:val="24"/>
        </w:rPr>
      </w:pPr>
      <w:r w:rsidRPr="00F47955">
        <w:rPr>
          <w:rFonts w:ascii="Arial" w:hAnsi="Arial" w:cs="Arial"/>
          <w:sz w:val="24"/>
          <w:szCs w:val="24"/>
        </w:rPr>
        <w:t>Laws forbidding sexual abuse and exploitation do not fully protect children. In cases of sexual abuse and violence, the law limits the protection of children ages 16 and above because it permits children to consent to sexual activity (Penal Code Act, Section 138). According to international standards, consent under the age of 18 is irrelevant because a child may believe they are voluntarily engaging in sexual activity despite a person’s intent to exploit. Likewise, laws forbidding the commercial sexual exploitation of children and child pornography also fall short because they exclude children ages 16 and above (Juveniles Act, Section 47 and Penal Code Act, Section 140). The Child Code Bill, if passed, will protect all children (0-18) from sexual abuse and exploitation.</w:t>
      </w:r>
    </w:p>
    <w:p w:rsidR="003F28D6" w:rsidRDefault="003F28D6" w:rsidP="00667BA5">
      <w:pPr>
        <w:spacing w:line="360" w:lineRule="auto"/>
        <w:rPr>
          <w:rFonts w:ascii="Arial" w:hAnsi="Arial" w:cs="Arial"/>
          <w:b/>
          <w:sz w:val="24"/>
          <w:szCs w:val="24"/>
        </w:rPr>
      </w:pPr>
      <w:r w:rsidRPr="003F28D6">
        <w:rPr>
          <w:rFonts w:ascii="Arial" w:hAnsi="Arial" w:cs="Arial"/>
          <w:b/>
          <w:sz w:val="24"/>
          <w:szCs w:val="24"/>
        </w:rPr>
        <w:t>CONVENTION ON THE RIGHTS OF PERSONS WITH DISABILITIES (CRPD)</w:t>
      </w:r>
      <w:r w:rsidR="00677F73" w:rsidRPr="00677F73">
        <w:t xml:space="preserve"> </w:t>
      </w:r>
      <w:r w:rsidR="00677F73" w:rsidRPr="00677F73">
        <w:rPr>
          <w:rFonts w:ascii="Arial" w:hAnsi="Arial" w:cs="Arial"/>
          <w:b/>
          <w:sz w:val="24"/>
          <w:szCs w:val="24"/>
        </w:rPr>
        <w:t>2006</w:t>
      </w:r>
    </w:p>
    <w:p w:rsidR="00995CE5" w:rsidRDefault="00FA0530" w:rsidP="00995CE5">
      <w:pPr>
        <w:spacing w:line="360" w:lineRule="auto"/>
        <w:rPr>
          <w:rFonts w:ascii="Arial" w:hAnsi="Arial" w:cs="Arial"/>
          <w:color w:val="000000"/>
          <w:sz w:val="24"/>
          <w:szCs w:val="24"/>
          <w:shd w:val="clear" w:color="auto" w:fill="FFFFFF"/>
        </w:rPr>
      </w:pPr>
      <w:r w:rsidRPr="0040231B">
        <w:rPr>
          <w:rFonts w:ascii="Arial" w:hAnsi="Arial" w:cs="Arial"/>
          <w:sz w:val="24"/>
          <w:szCs w:val="24"/>
          <w:shd w:val="clear" w:color="auto" w:fill="FFFFFF"/>
        </w:rPr>
        <w:t>The Convention on the Rights of Persons with Disabilities is an international human rights treaty of the United Nations intended to protect the rights and dignity of persons with disabilities. T</w:t>
      </w:r>
      <w:r w:rsidRPr="00FA0530">
        <w:rPr>
          <w:rFonts w:ascii="Arial" w:hAnsi="Arial" w:cs="Arial"/>
          <w:color w:val="000000"/>
          <w:sz w:val="24"/>
          <w:szCs w:val="24"/>
          <w:shd w:val="clear" w:color="auto" w:fill="FFFFFF"/>
        </w:rPr>
        <w:t>he Convention follows decades of work by the United Nations to change attitudes and approaches to persons with disabilities. It takes to a new height the movement from viewing persons with disabilities as “objects”</w:t>
      </w:r>
      <w:r w:rsidR="00052C2C" w:rsidRPr="00FA0530">
        <w:rPr>
          <w:rFonts w:ascii="Arial" w:hAnsi="Arial" w:cs="Arial"/>
          <w:color w:val="000000"/>
          <w:sz w:val="24"/>
          <w:szCs w:val="24"/>
          <w:shd w:val="clear" w:color="auto" w:fill="FFFFFF"/>
        </w:rPr>
        <w:t> of</w:t>
      </w:r>
      <w:r w:rsidRPr="00FA0530">
        <w:rPr>
          <w:rFonts w:ascii="Arial" w:hAnsi="Arial" w:cs="Arial"/>
          <w:color w:val="000000"/>
          <w:sz w:val="24"/>
          <w:szCs w:val="24"/>
          <w:shd w:val="clear" w:color="auto" w:fill="FFFFFF"/>
        </w:rPr>
        <w:t xml:space="preserve"> charity, medical treatment and social protection towards viewing persons with disabilities as “subjects” with rights, who are capable of claiming those rights and making decisions for their lives based on their free and informed consent as well as being active members of society.</w:t>
      </w:r>
      <w:r w:rsidR="00052C2C" w:rsidRPr="00052C2C">
        <w:t xml:space="preserve"> </w:t>
      </w:r>
      <w:r w:rsidR="00052C2C" w:rsidRPr="00052C2C">
        <w:rPr>
          <w:rFonts w:ascii="Arial" w:hAnsi="Arial" w:cs="Arial"/>
          <w:color w:val="000000"/>
          <w:sz w:val="24"/>
          <w:szCs w:val="24"/>
          <w:shd w:val="clear" w:color="auto" w:fill="FFFFFF"/>
        </w:rPr>
        <w:t>It adopts a broad categorization of persons with disabilities and reaffirms that all persons with all types of disabilities must enjoy all human rights and fundamental freedoms. It clarifies and qualifies how all categories of rights apply to persons with disabilities and identifies areas where adaptations have to be made for persons with disabilities to effectively exercise their rights and areas where their rights have been violated, and where protection of rights must be reinforced.</w:t>
      </w:r>
    </w:p>
    <w:p w:rsidR="00995CE5" w:rsidRPr="00995CE5" w:rsidRDefault="00995CE5" w:rsidP="00995CE5">
      <w:pPr>
        <w:spacing w:line="360" w:lineRule="auto"/>
        <w:rPr>
          <w:rFonts w:ascii="Arial" w:hAnsi="Arial" w:cs="Arial"/>
          <w:color w:val="000000"/>
          <w:sz w:val="24"/>
          <w:szCs w:val="24"/>
          <w:shd w:val="clear" w:color="auto" w:fill="FFFFFF"/>
        </w:rPr>
      </w:pPr>
      <w:r w:rsidRPr="00995CE5">
        <w:rPr>
          <w:rFonts w:ascii="Arial" w:eastAsia="Times New Roman" w:hAnsi="Arial" w:cs="Arial"/>
          <w:color w:val="000000"/>
          <w:sz w:val="24"/>
          <w:szCs w:val="24"/>
        </w:rPr>
        <w:t xml:space="preserve">There are eight guiding principles </w:t>
      </w:r>
      <w:r w:rsidR="00391DEE">
        <w:rPr>
          <w:rFonts w:ascii="Arial" w:eastAsia="Times New Roman" w:hAnsi="Arial" w:cs="Arial"/>
          <w:color w:val="000000"/>
          <w:sz w:val="24"/>
          <w:szCs w:val="24"/>
        </w:rPr>
        <w:t xml:space="preserve">provided for in </w:t>
      </w:r>
      <w:r w:rsidR="00391DEE" w:rsidRPr="00AD580D">
        <w:rPr>
          <w:rFonts w:ascii="Arial" w:eastAsia="Times New Roman" w:hAnsi="Arial" w:cs="Arial"/>
          <w:b/>
          <w:color w:val="000000"/>
          <w:sz w:val="24"/>
          <w:szCs w:val="24"/>
        </w:rPr>
        <w:t>article 3</w:t>
      </w:r>
      <w:r w:rsidR="00391DEE">
        <w:rPr>
          <w:rFonts w:ascii="Arial" w:eastAsia="Times New Roman" w:hAnsi="Arial" w:cs="Arial"/>
          <w:color w:val="000000"/>
          <w:sz w:val="24"/>
          <w:szCs w:val="24"/>
        </w:rPr>
        <w:t xml:space="preserve"> of the convention </w:t>
      </w:r>
      <w:r w:rsidRPr="00995CE5">
        <w:rPr>
          <w:rFonts w:ascii="Arial" w:eastAsia="Times New Roman" w:hAnsi="Arial" w:cs="Arial"/>
          <w:color w:val="000000"/>
          <w:sz w:val="24"/>
          <w:szCs w:val="24"/>
        </w:rPr>
        <w:t>that underlie the Convention and each one of its specific articles:</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Respect for inherent dignity, individual autonomy including the freedom to make one’s own choices, and independence of persons</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Non-discrimination</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Full and effective participation and inclusion in society</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Respect for difference and acceptance of persons with disabilities as part of human diversity and humanity</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Equality of opportunity</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Accessibility</w:t>
      </w:r>
      <w:r w:rsidR="00E27AC1">
        <w:rPr>
          <w:rFonts w:ascii="Arial" w:eastAsia="Times New Roman" w:hAnsi="Arial" w:cs="Arial"/>
          <w:b/>
          <w:color w:val="000000"/>
          <w:sz w:val="24"/>
          <w:szCs w:val="24"/>
        </w:rPr>
        <w:t xml:space="preserve"> – it is also a stand-alone article in article 9</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Equality between men and women</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Respect for the evolving capacities of children with disabilities and respect for the right of children with disabilities to preserve their identities</w:t>
      </w:r>
    </w:p>
    <w:p w:rsidR="00093F7C" w:rsidRPr="00093F7C" w:rsidRDefault="00093F7C" w:rsidP="00995C93">
      <w:pPr>
        <w:spacing w:line="360" w:lineRule="auto"/>
        <w:rPr>
          <w:rFonts w:ascii="Arial" w:hAnsi="Arial" w:cs="Arial"/>
          <w:sz w:val="24"/>
          <w:szCs w:val="24"/>
        </w:rPr>
      </w:pPr>
      <w:r w:rsidRPr="00093F7C">
        <w:rPr>
          <w:rFonts w:ascii="Arial" w:hAnsi="Arial" w:cs="Arial"/>
          <w:sz w:val="24"/>
          <w:szCs w:val="24"/>
        </w:rPr>
        <w:t>These general principles should premise the thinking, planning, and implementation of systems and processes in the justice field. They should also influence the development of laws and regulations and their interpretation. It must be emphasised that these general principles apply to all persons with disabilities, including those with psycho-social and intellectual disabilities.</w:t>
      </w:r>
    </w:p>
    <w:p w:rsidR="00995C93" w:rsidRPr="00995C93" w:rsidRDefault="00995C93" w:rsidP="00995C93">
      <w:pPr>
        <w:spacing w:line="360" w:lineRule="auto"/>
        <w:rPr>
          <w:rFonts w:ascii="Arial" w:hAnsi="Arial" w:cs="Arial"/>
          <w:sz w:val="24"/>
          <w:szCs w:val="24"/>
        </w:rPr>
      </w:pPr>
      <w:r w:rsidRPr="00995C93">
        <w:rPr>
          <w:rFonts w:ascii="Arial" w:hAnsi="Arial" w:cs="Arial"/>
          <w:sz w:val="24"/>
          <w:szCs w:val="24"/>
        </w:rPr>
        <w:t>The Convention doe</w:t>
      </w:r>
      <w:r>
        <w:rPr>
          <w:rFonts w:ascii="Arial" w:hAnsi="Arial" w:cs="Arial"/>
          <w:sz w:val="24"/>
          <w:szCs w:val="24"/>
        </w:rPr>
        <w:t xml:space="preserve">s not legally define disability. </w:t>
      </w:r>
      <w:r w:rsidRPr="00995C93">
        <w:rPr>
          <w:rFonts w:ascii="Arial" w:hAnsi="Arial" w:cs="Arial"/>
          <w:sz w:val="24"/>
          <w:szCs w:val="24"/>
        </w:rPr>
        <w:t xml:space="preserve">Preamble of Convention states: </w:t>
      </w:r>
    </w:p>
    <w:p w:rsidR="00995C93" w:rsidRPr="00995C93" w:rsidRDefault="00995C93" w:rsidP="00995C93">
      <w:pPr>
        <w:spacing w:line="360" w:lineRule="auto"/>
        <w:rPr>
          <w:rFonts w:ascii="Arial" w:hAnsi="Arial" w:cs="Arial"/>
          <w:b/>
          <w:i/>
          <w:sz w:val="24"/>
          <w:szCs w:val="24"/>
        </w:rPr>
      </w:pPr>
      <w:r w:rsidRPr="00995C93">
        <w:rPr>
          <w:rFonts w:ascii="Arial" w:hAnsi="Arial" w:cs="Arial"/>
          <w:b/>
          <w:i/>
          <w:sz w:val="24"/>
          <w:szCs w:val="24"/>
        </w:rPr>
        <w:t>‘Disability is an evolving concept, and that disability results from the interaction between persons with impairments and attitudinal and environmental barriers that hinders full and effective participation in society on an equal basis with others’</w:t>
      </w:r>
    </w:p>
    <w:p w:rsidR="00995C93" w:rsidRPr="00995C93" w:rsidRDefault="00995C93" w:rsidP="00995C93">
      <w:pPr>
        <w:spacing w:line="360" w:lineRule="auto"/>
        <w:rPr>
          <w:rFonts w:ascii="Arial" w:hAnsi="Arial" w:cs="Arial"/>
          <w:sz w:val="24"/>
          <w:szCs w:val="24"/>
        </w:rPr>
      </w:pPr>
      <w:r w:rsidRPr="00995C93">
        <w:rPr>
          <w:rFonts w:ascii="Arial" w:hAnsi="Arial" w:cs="Arial"/>
          <w:sz w:val="24"/>
          <w:szCs w:val="24"/>
        </w:rPr>
        <w:t xml:space="preserve">Article 1 of the Convention states: </w:t>
      </w:r>
    </w:p>
    <w:p w:rsidR="00995CE5" w:rsidRDefault="00995C93" w:rsidP="00995C93">
      <w:pPr>
        <w:spacing w:line="360" w:lineRule="auto"/>
        <w:rPr>
          <w:rFonts w:ascii="Arial" w:hAnsi="Arial" w:cs="Arial"/>
          <w:b/>
          <w:i/>
          <w:sz w:val="24"/>
          <w:szCs w:val="24"/>
        </w:rPr>
      </w:pPr>
      <w:r w:rsidRPr="00995C93">
        <w:rPr>
          <w:rFonts w:ascii="Arial" w:hAnsi="Arial" w:cs="Arial"/>
          <w:b/>
          <w:i/>
          <w:sz w:val="24"/>
          <w:szCs w:val="24"/>
        </w:rPr>
        <w:t>‘Persons with disabilities include those who have long-term physical, mental, intellectual or sensory impairments which in interaction with various barriers may hinder their full and effective participation in society on an equal basis with others’.</w:t>
      </w:r>
    </w:p>
    <w:p w:rsidR="00F96FBF" w:rsidRDefault="00490EFF" w:rsidP="00995C93">
      <w:pPr>
        <w:spacing w:line="360" w:lineRule="auto"/>
        <w:rPr>
          <w:rFonts w:ascii="Arial" w:hAnsi="Arial" w:cs="Arial"/>
          <w:sz w:val="24"/>
          <w:szCs w:val="24"/>
        </w:rPr>
      </w:pPr>
      <w:r>
        <w:rPr>
          <w:rFonts w:ascii="Arial" w:hAnsi="Arial" w:cs="Arial"/>
          <w:sz w:val="24"/>
          <w:szCs w:val="24"/>
        </w:rPr>
        <w:t>The general obligatio</w:t>
      </w:r>
      <w:r w:rsidR="00F96FBF">
        <w:rPr>
          <w:rFonts w:ascii="Arial" w:hAnsi="Arial" w:cs="Arial"/>
          <w:sz w:val="24"/>
          <w:szCs w:val="24"/>
        </w:rPr>
        <w:t>ns are provided for in article 4:</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Take all adequate measures to implement the CRPD</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Make sure that their legal and administrative frameworks as well as all public entities do not discriminate persons with disabilities</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Protect persons with disabilities from discrimination by non-state actors</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 xml:space="preserve">Provide information to persons with disabilities on possible support </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Ensure enforcement across decentralisation levels</w:t>
      </w:r>
    </w:p>
    <w:p w:rsidR="00CC0211" w:rsidRPr="00364567"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Consult persons with disabilities and their representative organisations on all matters related to CRPD implementation</w:t>
      </w:r>
    </w:p>
    <w:p w:rsidR="00827314" w:rsidRPr="00827314" w:rsidRDefault="00827314" w:rsidP="00827314">
      <w:pPr>
        <w:spacing w:line="360" w:lineRule="auto"/>
        <w:rPr>
          <w:rFonts w:ascii="Arial" w:hAnsi="Arial" w:cs="Arial"/>
          <w:b/>
          <w:sz w:val="24"/>
          <w:szCs w:val="24"/>
        </w:rPr>
      </w:pPr>
      <w:r w:rsidRPr="00827314">
        <w:rPr>
          <w:rFonts w:ascii="Arial" w:hAnsi="Arial" w:cs="Arial"/>
          <w:b/>
          <w:sz w:val="24"/>
          <w:szCs w:val="24"/>
        </w:rPr>
        <w:t>MONITIORING THE CONVENTION</w:t>
      </w:r>
    </w:p>
    <w:p w:rsidR="00827314" w:rsidRDefault="00827314" w:rsidP="00827314">
      <w:pPr>
        <w:spacing w:line="360" w:lineRule="auto"/>
        <w:rPr>
          <w:rFonts w:ascii="Arial" w:hAnsi="Arial" w:cs="Arial"/>
          <w:sz w:val="24"/>
          <w:szCs w:val="24"/>
        </w:rPr>
      </w:pPr>
      <w:r w:rsidRPr="00827314">
        <w:rPr>
          <w:rFonts w:ascii="Arial" w:hAnsi="Arial" w:cs="Arial"/>
          <w:sz w:val="24"/>
          <w:szCs w:val="24"/>
        </w:rPr>
        <w:t>The Committee on the Rights of Persons with Disabilities (CRPD) is the body of independent experts which monitors implementation of the Con</w:t>
      </w:r>
      <w:r>
        <w:rPr>
          <w:rFonts w:ascii="Arial" w:hAnsi="Arial" w:cs="Arial"/>
          <w:sz w:val="24"/>
          <w:szCs w:val="24"/>
        </w:rPr>
        <w:t xml:space="preserve">vention by the States Parties. </w:t>
      </w:r>
      <w:r w:rsidRPr="00827314">
        <w:rPr>
          <w:rFonts w:ascii="Arial" w:hAnsi="Arial" w:cs="Arial"/>
          <w:sz w:val="24"/>
          <w:szCs w:val="24"/>
        </w:rPr>
        <w:t>All States parties are obliged to submit regular reports to the Committee on how the</w:t>
      </w:r>
      <w:r>
        <w:rPr>
          <w:rFonts w:ascii="Arial" w:hAnsi="Arial" w:cs="Arial"/>
          <w:sz w:val="24"/>
          <w:szCs w:val="24"/>
        </w:rPr>
        <w:t xml:space="preserve"> rights are being implemented. </w:t>
      </w:r>
      <w:r w:rsidRPr="00827314">
        <w:rPr>
          <w:rFonts w:ascii="Arial" w:hAnsi="Arial" w:cs="Arial"/>
          <w:sz w:val="24"/>
          <w:szCs w:val="24"/>
        </w:rPr>
        <w:t>States must report initially within two years of accepting the Convention and thereafter every four years. The Committee examines each report and shall make such suggestions and general recommendations on the report as it may consider appropriate and shall forward these to the State Party concerned</w:t>
      </w:r>
    </w:p>
    <w:p w:rsidR="00A6103C" w:rsidRPr="00A6103C" w:rsidRDefault="00A6103C" w:rsidP="00A6103C">
      <w:pPr>
        <w:spacing w:line="360" w:lineRule="auto"/>
        <w:rPr>
          <w:rFonts w:ascii="Arial" w:hAnsi="Arial" w:cs="Arial"/>
          <w:sz w:val="24"/>
          <w:szCs w:val="24"/>
          <w:u w:val="single"/>
        </w:rPr>
      </w:pPr>
      <w:r w:rsidRPr="00A6103C">
        <w:rPr>
          <w:rFonts w:ascii="Arial" w:hAnsi="Arial" w:cs="Arial"/>
          <w:sz w:val="24"/>
          <w:szCs w:val="24"/>
          <w:u w:val="single"/>
        </w:rPr>
        <w:t>Optional Protocol to the CRPD</w:t>
      </w:r>
    </w:p>
    <w:p w:rsidR="00A6103C" w:rsidRDefault="00A6103C" w:rsidP="00A6103C">
      <w:pPr>
        <w:spacing w:line="360" w:lineRule="auto"/>
        <w:rPr>
          <w:rFonts w:ascii="Arial" w:hAnsi="Arial" w:cs="Arial"/>
          <w:sz w:val="24"/>
          <w:szCs w:val="24"/>
        </w:rPr>
      </w:pPr>
      <w:r w:rsidRPr="00A6103C">
        <w:rPr>
          <w:rFonts w:ascii="Arial" w:hAnsi="Arial" w:cs="Arial"/>
          <w:sz w:val="24"/>
          <w:szCs w:val="24"/>
        </w:rPr>
        <w:t>Creates additional functions for the Committee on the Right</w:t>
      </w:r>
      <w:r>
        <w:rPr>
          <w:rFonts w:ascii="Arial" w:hAnsi="Arial" w:cs="Arial"/>
          <w:sz w:val="24"/>
          <w:szCs w:val="24"/>
        </w:rPr>
        <w:t xml:space="preserve">s of Persons with Disabilities: </w:t>
      </w:r>
    </w:p>
    <w:p w:rsidR="00A6103C" w:rsidRPr="00A6103C" w:rsidRDefault="00A6103C" w:rsidP="00A6103C">
      <w:pPr>
        <w:spacing w:line="360" w:lineRule="auto"/>
        <w:rPr>
          <w:rFonts w:ascii="Arial" w:hAnsi="Arial" w:cs="Arial"/>
          <w:sz w:val="24"/>
          <w:szCs w:val="24"/>
        </w:rPr>
      </w:pPr>
      <w:r w:rsidRPr="00A6103C">
        <w:rPr>
          <w:rFonts w:ascii="Arial" w:hAnsi="Arial" w:cs="Arial"/>
          <w:b/>
          <w:sz w:val="24"/>
          <w:szCs w:val="24"/>
        </w:rPr>
        <w:t>Individual communications</w:t>
      </w:r>
      <w:r w:rsidRPr="00A6103C">
        <w:rPr>
          <w:rFonts w:ascii="Arial" w:hAnsi="Arial" w:cs="Arial"/>
          <w:sz w:val="24"/>
          <w:szCs w:val="24"/>
        </w:rPr>
        <w:t>: Committee considers communications from individuals or group of individuals claiming to be victims of a violation of the provisions of the Convention by a State Party of the party to the Protocol</w:t>
      </w:r>
    </w:p>
    <w:p w:rsidR="00A6103C" w:rsidRDefault="00A6103C" w:rsidP="00A6103C">
      <w:pPr>
        <w:spacing w:line="360" w:lineRule="auto"/>
        <w:rPr>
          <w:rFonts w:ascii="Arial" w:hAnsi="Arial" w:cs="Arial"/>
          <w:sz w:val="24"/>
          <w:szCs w:val="24"/>
        </w:rPr>
      </w:pPr>
      <w:r w:rsidRPr="00A6103C">
        <w:rPr>
          <w:rFonts w:ascii="Arial" w:hAnsi="Arial" w:cs="Arial"/>
          <w:b/>
          <w:sz w:val="24"/>
          <w:szCs w:val="24"/>
        </w:rPr>
        <w:t>Inquiries</w:t>
      </w:r>
      <w:r w:rsidRPr="00A6103C">
        <w:rPr>
          <w:rFonts w:ascii="Arial" w:hAnsi="Arial" w:cs="Arial"/>
          <w:sz w:val="24"/>
          <w:szCs w:val="24"/>
        </w:rPr>
        <w:t>: Committee member may conduct an inquiry on a State Party, following information received indicating grave or systemic violations of the Convention by State Party</w:t>
      </w:r>
    </w:p>
    <w:p w:rsidR="005373C8" w:rsidRPr="005373C8" w:rsidRDefault="005373C8" w:rsidP="00A6103C">
      <w:pPr>
        <w:spacing w:line="360" w:lineRule="auto"/>
        <w:rPr>
          <w:rFonts w:ascii="Arial" w:hAnsi="Arial" w:cs="Arial"/>
          <w:b/>
          <w:sz w:val="24"/>
          <w:szCs w:val="24"/>
        </w:rPr>
      </w:pPr>
      <w:r w:rsidRPr="005373C8">
        <w:rPr>
          <w:rFonts w:ascii="Arial" w:hAnsi="Arial" w:cs="Arial"/>
          <w:b/>
          <w:sz w:val="24"/>
          <w:szCs w:val="24"/>
        </w:rPr>
        <w:t>Disability rights in Zambia</w:t>
      </w:r>
    </w:p>
    <w:p w:rsidR="001D59E6" w:rsidRPr="00FE7C09" w:rsidRDefault="001D59E6" w:rsidP="00A6103C">
      <w:pPr>
        <w:spacing w:line="360" w:lineRule="auto"/>
        <w:rPr>
          <w:rFonts w:ascii="Arial" w:hAnsi="Arial" w:cs="Arial"/>
          <w:sz w:val="24"/>
          <w:szCs w:val="24"/>
        </w:rPr>
      </w:pPr>
      <w:r w:rsidRPr="001D59E6">
        <w:rPr>
          <w:rFonts w:ascii="Arial" w:hAnsi="Arial" w:cs="Arial"/>
          <w:sz w:val="24"/>
          <w:szCs w:val="24"/>
        </w:rPr>
        <w:t>Women and men with disabilities can and want to be productive members of society. In both developed and developing countries, promoting more inclusive societies and employment opportunities for people with disabilities requires improved access to basic education, vocational training relevant to labour market needs and jobs suited to their skills, interests and abilities, with adaptations as needed. Many societies are also recognizing the need to dismantle other barriers - making the physical environment more accessible, providing information in a variety of formats, and challenging attitudes and mistaken assumptions about people with disabilities.</w:t>
      </w:r>
      <w:r w:rsidR="00742D30" w:rsidRPr="00742D30">
        <w:t xml:space="preserve"> </w:t>
      </w:r>
      <w:r w:rsidR="00742D30" w:rsidRPr="00FE7C09">
        <w:rPr>
          <w:rFonts w:ascii="Arial" w:hAnsi="Arial" w:cs="Arial"/>
          <w:sz w:val="24"/>
          <w:szCs w:val="24"/>
        </w:rPr>
        <w:t>As group, a majority of Zambians with disabilities live in poverty and generally have unproportionally low literacy levels compared to persons without disabilities. Disabled persons often have to resort to street begging as a means of survival.</w:t>
      </w:r>
    </w:p>
    <w:p w:rsidR="00742D30" w:rsidRPr="00FE7C09" w:rsidRDefault="00742D30" w:rsidP="00A6103C">
      <w:pPr>
        <w:spacing w:line="360" w:lineRule="auto"/>
        <w:rPr>
          <w:rFonts w:ascii="Arial" w:hAnsi="Arial" w:cs="Arial"/>
          <w:sz w:val="24"/>
          <w:szCs w:val="24"/>
        </w:rPr>
      </w:pPr>
      <w:r w:rsidRPr="00FE7C09">
        <w:rPr>
          <w:rFonts w:ascii="Arial" w:hAnsi="Arial" w:cs="Arial"/>
          <w:sz w:val="24"/>
          <w:szCs w:val="24"/>
        </w:rPr>
        <w:t>The Government of Zambia has adopted a number of laws and policies pertaining to people with disabilities, including their right to productive and decent work and to basic services, workers’ compensation, social security, and entrepreneurship development. The main ones are:</w:t>
      </w:r>
    </w:p>
    <w:p w:rsidR="003541AB" w:rsidRDefault="003B3479" w:rsidP="003541AB">
      <w:pPr>
        <w:pStyle w:val="ListParagraph"/>
        <w:numPr>
          <w:ilvl w:val="0"/>
          <w:numId w:val="7"/>
        </w:numPr>
        <w:spacing w:line="360" w:lineRule="auto"/>
        <w:rPr>
          <w:rFonts w:ascii="Arial" w:hAnsi="Arial" w:cs="Arial"/>
          <w:sz w:val="24"/>
          <w:szCs w:val="24"/>
        </w:rPr>
      </w:pPr>
      <w:r w:rsidRPr="003541AB">
        <w:rPr>
          <w:rFonts w:ascii="Arial" w:hAnsi="Arial" w:cs="Arial"/>
          <w:sz w:val="24"/>
          <w:szCs w:val="24"/>
        </w:rPr>
        <w:t xml:space="preserve">The constitution of Zambia – </w:t>
      </w:r>
      <w:r w:rsidR="003541AB" w:rsidRPr="003541AB">
        <w:rPr>
          <w:rFonts w:ascii="Arial" w:hAnsi="Arial" w:cs="Arial"/>
          <w:sz w:val="24"/>
          <w:szCs w:val="24"/>
        </w:rPr>
        <w:t>While article 23 does not expressly prohibit discrimination on the basis of disability, the High Court in Zambia has held the Constitutional provisions that generally prohibit discrimination as capturing disability discrimination</w:t>
      </w:r>
      <w:r w:rsidR="003541AB">
        <w:rPr>
          <w:rFonts w:ascii="Arial" w:hAnsi="Arial" w:cs="Arial"/>
          <w:sz w:val="24"/>
          <w:szCs w:val="24"/>
        </w:rPr>
        <w:t>.</w:t>
      </w:r>
    </w:p>
    <w:p w:rsidR="0080658D" w:rsidRPr="003541AB" w:rsidRDefault="005373C8" w:rsidP="003541AB">
      <w:pPr>
        <w:pStyle w:val="ListParagraph"/>
        <w:numPr>
          <w:ilvl w:val="0"/>
          <w:numId w:val="7"/>
        </w:numPr>
        <w:spacing w:line="360" w:lineRule="auto"/>
        <w:rPr>
          <w:rFonts w:ascii="Arial" w:hAnsi="Arial" w:cs="Arial"/>
          <w:sz w:val="24"/>
          <w:szCs w:val="24"/>
        </w:rPr>
      </w:pPr>
      <w:r w:rsidRPr="003541AB">
        <w:rPr>
          <w:rFonts w:ascii="Arial" w:hAnsi="Arial" w:cs="Arial"/>
          <w:sz w:val="24"/>
          <w:szCs w:val="24"/>
        </w:rPr>
        <w:t>The Government of Zambia has domesticated the UN Convention on the Rights of Persons with Disabilities (UNCPRD) by enacting the Persons with Disabilities Act No 6 of 2012</w:t>
      </w:r>
      <w:r w:rsidR="00FE7C09" w:rsidRPr="003541AB">
        <w:rPr>
          <w:rFonts w:ascii="Arial" w:hAnsi="Arial" w:cs="Arial"/>
          <w:sz w:val="24"/>
          <w:szCs w:val="24"/>
        </w:rPr>
        <w:t>.</w:t>
      </w:r>
    </w:p>
    <w:p w:rsidR="0080658D" w:rsidRPr="0080658D" w:rsidRDefault="00FE7C09"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 The Citizen Economic Empowerment Commission Act, 2008, aims at empowering people with disabilities economically through start-up businesses that will employ others.</w:t>
      </w:r>
      <w:r w:rsidR="0080658D" w:rsidRPr="0080658D">
        <w:t xml:space="preserve">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Technical Education, Vocational and Entrepreneurship Training (TEVET) Act, 1998, states that the “special needs of people with disabilities will be taken into consideration”.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Workers’ Compensation Act (No. 10 of 1999), revises the law relating to the compensation of workers for disabilities suffered or diseases contracted during the course of employment.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 The National Policy on Education, 1996, recognizes the right to education for each individual, regardless of personal circumstances or capacity.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Ministry of Education has overall responsibility for education, including special education.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National Employment and Labour Market Policy (NELP), 2005, shows the government’s intentions to provide for improved care and support services to vulnerable groups, including people with disabilities. </w:t>
      </w:r>
    </w:p>
    <w:p w:rsidR="005373C8"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 The National Youth Policy, 2006, aims at including disabled youth in mainstream programmes and projects targeting youth</w:t>
      </w:r>
    </w:p>
    <w:p w:rsidR="00FE7128" w:rsidRPr="00307C6F" w:rsidRDefault="00A46D71" w:rsidP="00A6103C">
      <w:pPr>
        <w:spacing w:line="360" w:lineRule="auto"/>
        <w:rPr>
          <w:rFonts w:ascii="Arial" w:hAnsi="Arial" w:cs="Arial"/>
          <w:sz w:val="24"/>
          <w:szCs w:val="24"/>
        </w:rPr>
      </w:pPr>
      <w:r>
        <w:rPr>
          <w:rFonts w:ascii="Arial" w:hAnsi="Arial" w:cs="Arial"/>
          <w:sz w:val="24"/>
          <w:szCs w:val="24"/>
        </w:rPr>
        <w:t xml:space="preserve">As mentioned above, </w:t>
      </w:r>
      <w:r w:rsidRPr="00307C6F">
        <w:rPr>
          <w:rFonts w:ascii="Arial" w:hAnsi="Arial" w:cs="Arial"/>
          <w:sz w:val="24"/>
          <w:szCs w:val="24"/>
        </w:rPr>
        <w:t xml:space="preserve">the </w:t>
      </w:r>
      <w:r w:rsidR="00FE7128" w:rsidRPr="00307C6F">
        <w:rPr>
          <w:rFonts w:ascii="Arial" w:hAnsi="Arial" w:cs="Arial"/>
          <w:sz w:val="24"/>
          <w:szCs w:val="24"/>
        </w:rPr>
        <w:t>Zambian government domesticated the CRPD through the enactment of the Persons with Disabilities Act.16</w:t>
      </w:r>
      <w:r>
        <w:rPr>
          <w:rFonts w:ascii="Arial" w:hAnsi="Arial" w:cs="Arial"/>
          <w:sz w:val="24"/>
          <w:szCs w:val="24"/>
        </w:rPr>
        <w:t>.</w:t>
      </w:r>
      <w:r w:rsidR="00FE7128" w:rsidRPr="00307C6F">
        <w:rPr>
          <w:rFonts w:ascii="Arial" w:hAnsi="Arial" w:cs="Arial"/>
          <w:sz w:val="24"/>
          <w:szCs w:val="24"/>
        </w:rPr>
        <w:t xml:space="preserve"> The rights of persons with disabilities is elaborated in Part 2 of the Act. Section 5 states that </w:t>
      </w:r>
      <w:r w:rsidR="00FE7128" w:rsidRPr="00940D3A">
        <w:rPr>
          <w:rFonts w:ascii="Arial" w:hAnsi="Arial" w:cs="Arial"/>
          <w:i/>
          <w:sz w:val="24"/>
          <w:szCs w:val="24"/>
        </w:rPr>
        <w:t>“[e]very person has a duty to uphold the rights of persons with disabilities and respect and safeguard the dignity of persons with disabilities”</w:t>
      </w:r>
      <w:r w:rsidR="00FE7128" w:rsidRPr="00307C6F">
        <w:rPr>
          <w:rFonts w:ascii="Arial" w:hAnsi="Arial" w:cs="Arial"/>
          <w:sz w:val="24"/>
          <w:szCs w:val="24"/>
        </w:rPr>
        <w:t xml:space="preserve">. Section 8(1) of the Persons with Disabilities Act provides that </w:t>
      </w:r>
      <w:r w:rsidR="00FE7128" w:rsidRPr="00940D3A">
        <w:rPr>
          <w:rFonts w:ascii="Arial" w:hAnsi="Arial" w:cs="Arial"/>
          <w:i/>
          <w:sz w:val="24"/>
          <w:szCs w:val="24"/>
        </w:rPr>
        <w:t>“a person with disability shall enjoy legal capacity on an equal basis with others in all aspects of life”.</w:t>
      </w:r>
      <w:r w:rsidR="00FE7128" w:rsidRPr="00307C6F">
        <w:rPr>
          <w:rFonts w:ascii="Arial" w:hAnsi="Arial" w:cs="Arial"/>
          <w:sz w:val="24"/>
          <w:szCs w:val="24"/>
        </w:rPr>
        <w:t xml:space="preserve"> Section 8(2) requires that </w:t>
      </w:r>
      <w:r w:rsidR="00FE7128" w:rsidRPr="00940D3A">
        <w:rPr>
          <w:rFonts w:ascii="Arial" w:hAnsi="Arial" w:cs="Arial"/>
          <w:i/>
          <w:sz w:val="24"/>
          <w:szCs w:val="24"/>
        </w:rPr>
        <w:t>“the judicature shall take necessary measures to ensure that persons with disabilities have equal and effective protection and equal benefit of the law without discrimination”.</w:t>
      </w:r>
      <w:r w:rsidR="00FE7128" w:rsidRPr="00307C6F">
        <w:rPr>
          <w:rFonts w:ascii="Arial" w:hAnsi="Arial" w:cs="Arial"/>
          <w:sz w:val="24"/>
          <w:szCs w:val="24"/>
        </w:rPr>
        <w:t xml:space="preserve"> Section 8(3) states that: Where a person with disability is a party in any legal proceedings, the adjudicating body shall take into account the condition of the person with disability and provide procedural and other appropriate facilities to enable the person with disability to access justice and participate effectively in the proceedings. This part of the law still needs to be tested in order to determine how ready the judiciary in Zambia is to enforce these provisions. It should be noted that persons with psycho-social and intellectual disabilities and those who are deaf-blind are catered for by this law and that their rights must be upheld and protected. Arguably, the law requires the provision of sign language for people who are deaf throughout the justice system. The law further requires the provision of Braille for people who are blind and that the built environment around courtrooms should be accessible. Despite domestication of the CRPD, several of Zambia’s laws still require reform. For example, section 163(1) of the Criminal Procedure Code of Zambia still provides for detention, at the president’s pleasure, in a “mental institution”. Persons with a mental disability – who are required to undergo psychiatric assessment in order to ascertain whether or not they can stand trial – have been known to be incarcerated for protracted periods of time in prisons like the Chainama East</w:t>
      </w:r>
      <w:r w:rsidR="00066515">
        <w:rPr>
          <w:rFonts w:ascii="Arial" w:hAnsi="Arial" w:cs="Arial"/>
          <w:sz w:val="24"/>
          <w:szCs w:val="24"/>
        </w:rPr>
        <w:t xml:space="preserve"> prison in Lusaka</w:t>
      </w:r>
      <w:r w:rsidR="00FE7128" w:rsidRPr="00307C6F">
        <w:rPr>
          <w:rFonts w:ascii="Arial" w:hAnsi="Arial" w:cs="Arial"/>
          <w:sz w:val="24"/>
          <w:szCs w:val="24"/>
        </w:rPr>
        <w:t>.</w:t>
      </w:r>
    </w:p>
    <w:p w:rsidR="00FE7128" w:rsidRPr="00B05DCB" w:rsidRDefault="00FE7128" w:rsidP="00A6103C">
      <w:pPr>
        <w:spacing w:line="360" w:lineRule="auto"/>
        <w:rPr>
          <w:rFonts w:ascii="Arial" w:hAnsi="Arial" w:cs="Arial"/>
          <w:sz w:val="24"/>
          <w:szCs w:val="24"/>
          <w:u w:val="single"/>
        </w:rPr>
      </w:pPr>
      <w:r w:rsidRPr="00FE7128">
        <w:rPr>
          <w:rFonts w:ascii="Arial" w:hAnsi="Arial" w:cs="Arial"/>
          <w:sz w:val="24"/>
          <w:szCs w:val="24"/>
        </w:rPr>
        <w:t xml:space="preserve">The High Court of Zambia has weighed in on the rights of persons with disabilities in </w:t>
      </w:r>
      <w:r w:rsidRPr="00844953">
        <w:rPr>
          <w:rFonts w:ascii="Arial" w:hAnsi="Arial" w:cs="Arial"/>
          <w:b/>
          <w:sz w:val="24"/>
          <w:szCs w:val="24"/>
          <w:u w:val="single"/>
        </w:rPr>
        <w:t>Brotherton v Electoral Commission of Zambia</w:t>
      </w:r>
      <w:r w:rsidR="00844953">
        <w:rPr>
          <w:rFonts w:ascii="Arial" w:hAnsi="Arial" w:cs="Arial"/>
          <w:sz w:val="24"/>
          <w:szCs w:val="24"/>
        </w:rPr>
        <w:t>.</w:t>
      </w:r>
      <w:r w:rsidR="00844953">
        <w:rPr>
          <w:rStyle w:val="FootnoteReference"/>
          <w:rFonts w:ascii="Arial" w:hAnsi="Arial" w:cs="Arial"/>
          <w:sz w:val="24"/>
          <w:szCs w:val="24"/>
        </w:rPr>
        <w:footnoteReference w:id="5"/>
      </w:r>
      <w:r w:rsidRPr="00FE7128">
        <w:rPr>
          <w:rFonts w:ascii="Arial" w:hAnsi="Arial" w:cs="Arial"/>
          <w:sz w:val="24"/>
          <w:szCs w:val="24"/>
        </w:rPr>
        <w:t xml:space="preserve"> In September 2011, the Court passed judgment in a case in which persons with disabilities – through the Zambia Federation of Disability Organisations (ZAFOD) – sued the Electoral Commission of Zambia for discrimination in the electoral process. The complaint by ZAFOD was that most of the polling stations in Zambia were not accessible to people with disabilities and that the services did not adequately cater for their needs. They further argued that there was a statutory obligation on the Electoral Commission to initiate legislation to ensure that people with disabilities were able to participate equally in the elections. ZAFOD argued that these shortcomings amounted to unlawful discrimination against persons with disabilities, in violation of article 23 of the Constitution of Zambia, and a limitation of the right of people with disabilities to exercise their franchise freely, fairly, in secret, and with dignity – as protected by article 75</w:t>
      </w:r>
      <w:r w:rsidR="00844953">
        <w:rPr>
          <w:rFonts w:ascii="Arial" w:hAnsi="Arial" w:cs="Arial"/>
          <w:sz w:val="24"/>
          <w:szCs w:val="24"/>
        </w:rPr>
        <w:t xml:space="preserve"> (now article 46 of Act no. 2 of 2016)</w:t>
      </w:r>
      <w:r w:rsidRPr="00FE7128">
        <w:rPr>
          <w:rFonts w:ascii="Arial" w:hAnsi="Arial" w:cs="Arial"/>
          <w:sz w:val="24"/>
          <w:szCs w:val="24"/>
        </w:rPr>
        <w:t xml:space="preserve">. ZAFOD argued that the Electoral Commission therefore violated its legislative duties to ensure equal participation of all persons, to make provisions for a special vote for persons who are unable to vote at the designated polling stations, and to relocate inaccessible polling stations to ensure that all people can access polling stations on </w:t>
      </w:r>
      <w:r w:rsidR="00F45246" w:rsidRPr="00FE7128">
        <w:rPr>
          <w:rFonts w:ascii="Arial" w:hAnsi="Arial" w:cs="Arial"/>
          <w:sz w:val="24"/>
          <w:szCs w:val="24"/>
        </w:rPr>
        <w:t>Election Day</w:t>
      </w:r>
      <w:r w:rsidR="00F45246" w:rsidRPr="00B05DCB">
        <w:rPr>
          <w:rFonts w:ascii="Arial" w:hAnsi="Arial" w:cs="Arial"/>
          <w:sz w:val="24"/>
          <w:szCs w:val="24"/>
        </w:rPr>
        <w:t>.</w:t>
      </w:r>
      <w:r w:rsidR="00B05DCB" w:rsidRPr="00B05DCB">
        <w:rPr>
          <w:rFonts w:ascii="Arial" w:hAnsi="Arial" w:cs="Arial"/>
          <w:sz w:val="24"/>
          <w:szCs w:val="24"/>
        </w:rPr>
        <w:t xml:space="preserve"> The Court held that ZAFOD had demonstrated that the Electoral Commission had unlawfully discriminated against people with disabilities, and had unlawfully limited the rights of people with disabilities to exercise their franchise, by not providing premises and services accessible to people with disabilities. The Court emphasised that “all eligible citizens must be free to cast their vote [and] [t]hey must thus, not be hindered in any way”. This decision is significant because disability is not specifically included as a prohibited ground of discrimination in article 23(3) of the Constitution of Zambia. The Court read the prohibition against discrimination in article 23 to include disability, after taking into account the provisions of the Persons with Disabilities Act, which does include such a prohibition against discrimination based on disability The Court held that the applicants had proved their entitlement to a remedy, but declined to postpone the elections, which were to take place the next day. Instead, the Court ordered that the Electoral Commission – an autonomous body – should put in place measures, by the next election, to ensure that persons with disabilities are not disadvantaged in exercising their right to vote. These measures had to include erecting temporary ramps, ensuring that polling booths are located on ground floors at polling stations, and providing a tactile ballot guide for voters who are blind or partially sighted, but who do not wish to be assisted in casting their vote. In addition, the Court ordered that the Electoral Commission formulate and issue a detailed plan and budget aimed at ensuring equal participation by persons with disabilities in the electoral process. The Court, however, stopped short of ordering that the detailed plan be submitted to the Court or that the Electoral Commission periodically report to the Court on progress made in implementing the order</w:t>
      </w:r>
    </w:p>
    <w:p w:rsidR="00FE7C09" w:rsidRPr="00FE7C09" w:rsidRDefault="00FE7C09" w:rsidP="00A6103C">
      <w:pPr>
        <w:spacing w:line="360" w:lineRule="auto"/>
        <w:rPr>
          <w:rFonts w:ascii="Arial" w:hAnsi="Arial" w:cs="Arial"/>
          <w:sz w:val="24"/>
          <w:szCs w:val="24"/>
          <w:u w:val="single"/>
        </w:rPr>
      </w:pPr>
      <w:r w:rsidRPr="00FE7C09">
        <w:rPr>
          <w:rFonts w:ascii="Arial" w:hAnsi="Arial" w:cs="Arial"/>
          <w:sz w:val="24"/>
          <w:szCs w:val="24"/>
          <w:u w:val="single"/>
        </w:rPr>
        <w:t>Key ministries and agencies responsible</w:t>
      </w:r>
    </w:p>
    <w:p w:rsidR="00FE7128"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 xml:space="preserve">The Ministry of Community Development, Mother and Child Health (MCDMCH) is entrusted with formulating policy for people with disabilities. </w:t>
      </w:r>
    </w:p>
    <w:p w:rsidR="00FE7C09" w:rsidRPr="0077341B"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 xml:space="preserve">The Zambia Agency for Persons with Disabilities (ZAPD) has the responsibility to coordinate the implementation of the National Policy on Disability and acts as an advisory body to the Ministry. </w:t>
      </w:r>
    </w:p>
    <w:p w:rsidR="00FE7C09" w:rsidRPr="0077341B"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The Ministry Education, Science, Vocational Training and Early Education (MESVTEE) has responsibility for developing science and technology and for the provision of technical education and vocational training.</w:t>
      </w:r>
    </w:p>
    <w:p w:rsidR="00FE7C09" w:rsidRPr="0077341B"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The Technical Education, Vocational and Entrepreneurship Training Authority (TEVETA) has responsibility to improve technical education and vocational training, while linking them to the requirements of the employment sector.</w:t>
      </w:r>
    </w:p>
    <w:sectPr w:rsidR="00FE7C09" w:rsidRPr="007734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06C" w:rsidRDefault="0080006C" w:rsidP="00D370EB">
      <w:pPr>
        <w:spacing w:after="0" w:line="240" w:lineRule="auto"/>
      </w:pPr>
      <w:r>
        <w:separator/>
      </w:r>
    </w:p>
  </w:endnote>
  <w:endnote w:type="continuationSeparator" w:id="0">
    <w:p w:rsidR="0080006C" w:rsidRDefault="0080006C" w:rsidP="00D3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06C" w:rsidRDefault="0080006C" w:rsidP="00D370EB">
      <w:pPr>
        <w:spacing w:after="0" w:line="240" w:lineRule="auto"/>
      </w:pPr>
      <w:r>
        <w:separator/>
      </w:r>
    </w:p>
  </w:footnote>
  <w:footnote w:type="continuationSeparator" w:id="0">
    <w:p w:rsidR="0080006C" w:rsidRDefault="0080006C" w:rsidP="00D370EB">
      <w:pPr>
        <w:spacing w:after="0" w:line="240" w:lineRule="auto"/>
      </w:pPr>
      <w:r>
        <w:continuationSeparator/>
      </w:r>
    </w:p>
  </w:footnote>
  <w:footnote w:id="1">
    <w:p w:rsidR="00D370EB" w:rsidRPr="00D370EB" w:rsidRDefault="00D370EB">
      <w:pPr>
        <w:pStyle w:val="FootnoteText"/>
        <w:rPr>
          <w:lang w:val="en-GB"/>
        </w:rPr>
      </w:pPr>
      <w:r>
        <w:rPr>
          <w:rStyle w:val="FootnoteReference"/>
        </w:rPr>
        <w:footnoteRef/>
      </w:r>
      <w:r>
        <w:t xml:space="preserve"> 1990/ HP/1724 (HC)</w:t>
      </w:r>
    </w:p>
  </w:footnote>
  <w:footnote w:id="2">
    <w:p w:rsidR="00D06A99" w:rsidRPr="00D06A99" w:rsidRDefault="00D06A99">
      <w:pPr>
        <w:pStyle w:val="FootnoteText"/>
        <w:rPr>
          <w:lang w:val="en-GB"/>
        </w:rPr>
      </w:pPr>
      <w:r>
        <w:rPr>
          <w:rStyle w:val="FootnoteReference"/>
        </w:rPr>
        <w:footnoteRef/>
      </w:r>
      <w:r>
        <w:t xml:space="preserve"> 1992/HP/765 (HC)</w:t>
      </w:r>
    </w:p>
  </w:footnote>
  <w:footnote w:id="3">
    <w:p w:rsidR="00030FD2" w:rsidRPr="00030FD2" w:rsidRDefault="00030FD2">
      <w:pPr>
        <w:pStyle w:val="FootnoteText"/>
        <w:rPr>
          <w:lang w:val="en-GB"/>
        </w:rPr>
      </w:pPr>
      <w:r>
        <w:rPr>
          <w:rStyle w:val="FootnoteReference"/>
        </w:rPr>
        <w:footnoteRef/>
      </w:r>
      <w:r>
        <w:t xml:space="preserve"> </w:t>
      </w:r>
      <w:r>
        <w:rPr>
          <w:lang w:val="en-GB"/>
        </w:rPr>
        <w:t>1991/HP/2082</w:t>
      </w:r>
    </w:p>
  </w:footnote>
  <w:footnote w:id="4">
    <w:p w:rsidR="00D21CDF" w:rsidRPr="00D21CDF" w:rsidRDefault="00D21CDF">
      <w:pPr>
        <w:pStyle w:val="FootnoteText"/>
        <w:rPr>
          <w:lang w:val="en-GB"/>
        </w:rPr>
      </w:pPr>
      <w:r>
        <w:rPr>
          <w:rStyle w:val="FootnoteReference"/>
        </w:rPr>
        <w:footnoteRef/>
      </w:r>
      <w:r>
        <w:t xml:space="preserve"> </w:t>
      </w:r>
      <w:r w:rsidRPr="00D21CDF">
        <w:t>2002) AHRLR 260 (ZaHC 1999</w:t>
      </w:r>
      <w:r>
        <w:t>)</w:t>
      </w:r>
    </w:p>
  </w:footnote>
  <w:footnote w:id="5">
    <w:p w:rsidR="00844953" w:rsidRPr="00844953" w:rsidRDefault="00844953">
      <w:pPr>
        <w:pStyle w:val="FootnoteText"/>
        <w:rPr>
          <w:lang w:val="en-GB"/>
        </w:rPr>
      </w:pPr>
      <w:r>
        <w:rPr>
          <w:rStyle w:val="FootnoteReference"/>
        </w:rPr>
        <w:footnoteRef/>
      </w:r>
      <w:r>
        <w:t xml:space="preserve"> 2011/HP/0818 (HC)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5B4"/>
    <w:multiLevelType w:val="multilevel"/>
    <w:tmpl w:val="7DBE77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B9844C4"/>
    <w:multiLevelType w:val="hybridMultilevel"/>
    <w:tmpl w:val="53B4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12C5"/>
    <w:multiLevelType w:val="multilevel"/>
    <w:tmpl w:val="7DBE77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25EC03AD"/>
    <w:multiLevelType w:val="hybridMultilevel"/>
    <w:tmpl w:val="58B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7425E"/>
    <w:multiLevelType w:val="hybridMultilevel"/>
    <w:tmpl w:val="C3E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B6531"/>
    <w:multiLevelType w:val="hybridMultilevel"/>
    <w:tmpl w:val="CF84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940FC"/>
    <w:multiLevelType w:val="hybridMultilevel"/>
    <w:tmpl w:val="816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A1E1E"/>
    <w:multiLevelType w:val="hybridMultilevel"/>
    <w:tmpl w:val="5140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11"/>
    <w:rsid w:val="000212E4"/>
    <w:rsid w:val="00026DB2"/>
    <w:rsid w:val="00030FD2"/>
    <w:rsid w:val="000322E0"/>
    <w:rsid w:val="00052C2C"/>
    <w:rsid w:val="00066515"/>
    <w:rsid w:val="00093F7C"/>
    <w:rsid w:val="00116ED5"/>
    <w:rsid w:val="00122F04"/>
    <w:rsid w:val="00125830"/>
    <w:rsid w:val="00140007"/>
    <w:rsid w:val="00145E46"/>
    <w:rsid w:val="0017653F"/>
    <w:rsid w:val="00190BD5"/>
    <w:rsid w:val="00191859"/>
    <w:rsid w:val="001A50EE"/>
    <w:rsid w:val="001D59E6"/>
    <w:rsid w:val="001F6299"/>
    <w:rsid w:val="00226054"/>
    <w:rsid w:val="00227600"/>
    <w:rsid w:val="0024630C"/>
    <w:rsid w:val="00294A63"/>
    <w:rsid w:val="00301713"/>
    <w:rsid w:val="00307C6F"/>
    <w:rsid w:val="003454A7"/>
    <w:rsid w:val="003541AB"/>
    <w:rsid w:val="00364567"/>
    <w:rsid w:val="00391DEE"/>
    <w:rsid w:val="00394139"/>
    <w:rsid w:val="003B3479"/>
    <w:rsid w:val="003C466C"/>
    <w:rsid w:val="003D07FB"/>
    <w:rsid w:val="003D222E"/>
    <w:rsid w:val="003F28D6"/>
    <w:rsid w:val="0040231B"/>
    <w:rsid w:val="00432AB8"/>
    <w:rsid w:val="00457644"/>
    <w:rsid w:val="00490EFF"/>
    <w:rsid w:val="004A3740"/>
    <w:rsid w:val="004E7915"/>
    <w:rsid w:val="00525EDA"/>
    <w:rsid w:val="005373C8"/>
    <w:rsid w:val="00537BE9"/>
    <w:rsid w:val="005435C8"/>
    <w:rsid w:val="00552F98"/>
    <w:rsid w:val="00555612"/>
    <w:rsid w:val="005A2C91"/>
    <w:rsid w:val="005C5B76"/>
    <w:rsid w:val="005E0562"/>
    <w:rsid w:val="005F108A"/>
    <w:rsid w:val="005F4E06"/>
    <w:rsid w:val="00653CF5"/>
    <w:rsid w:val="00654FFB"/>
    <w:rsid w:val="00667A6E"/>
    <w:rsid w:val="00667BA5"/>
    <w:rsid w:val="00675BAF"/>
    <w:rsid w:val="00677F73"/>
    <w:rsid w:val="006A7F0B"/>
    <w:rsid w:val="006C6ACF"/>
    <w:rsid w:val="006D1F5A"/>
    <w:rsid w:val="007332E0"/>
    <w:rsid w:val="007422C5"/>
    <w:rsid w:val="00742D30"/>
    <w:rsid w:val="00763E50"/>
    <w:rsid w:val="00770EF6"/>
    <w:rsid w:val="0077341B"/>
    <w:rsid w:val="00775486"/>
    <w:rsid w:val="007D5956"/>
    <w:rsid w:val="007E321A"/>
    <w:rsid w:val="007E4655"/>
    <w:rsid w:val="007E64E4"/>
    <w:rsid w:val="007F579B"/>
    <w:rsid w:val="0080006C"/>
    <w:rsid w:val="0080658D"/>
    <w:rsid w:val="00815938"/>
    <w:rsid w:val="00825411"/>
    <w:rsid w:val="00827314"/>
    <w:rsid w:val="00827903"/>
    <w:rsid w:val="00844953"/>
    <w:rsid w:val="008554E1"/>
    <w:rsid w:val="00857909"/>
    <w:rsid w:val="00887BE9"/>
    <w:rsid w:val="008B2C02"/>
    <w:rsid w:val="008D029E"/>
    <w:rsid w:val="00916DE2"/>
    <w:rsid w:val="00925635"/>
    <w:rsid w:val="00940D3A"/>
    <w:rsid w:val="00972563"/>
    <w:rsid w:val="00991586"/>
    <w:rsid w:val="00995C93"/>
    <w:rsid w:val="00995CE5"/>
    <w:rsid w:val="009A3716"/>
    <w:rsid w:val="00A03EF7"/>
    <w:rsid w:val="00A14262"/>
    <w:rsid w:val="00A46D71"/>
    <w:rsid w:val="00A6103C"/>
    <w:rsid w:val="00A62E61"/>
    <w:rsid w:val="00A77126"/>
    <w:rsid w:val="00AA6269"/>
    <w:rsid w:val="00AD580D"/>
    <w:rsid w:val="00B05DCB"/>
    <w:rsid w:val="00B61F09"/>
    <w:rsid w:val="00BC6E27"/>
    <w:rsid w:val="00BD5807"/>
    <w:rsid w:val="00BF1C32"/>
    <w:rsid w:val="00C25998"/>
    <w:rsid w:val="00C42AE5"/>
    <w:rsid w:val="00C5250A"/>
    <w:rsid w:val="00C62696"/>
    <w:rsid w:val="00C817A2"/>
    <w:rsid w:val="00CC0211"/>
    <w:rsid w:val="00CD7371"/>
    <w:rsid w:val="00CF0BB4"/>
    <w:rsid w:val="00D06A99"/>
    <w:rsid w:val="00D13772"/>
    <w:rsid w:val="00D21CDF"/>
    <w:rsid w:val="00D23F29"/>
    <w:rsid w:val="00D370EB"/>
    <w:rsid w:val="00D41B5D"/>
    <w:rsid w:val="00DA7A5E"/>
    <w:rsid w:val="00DC25CC"/>
    <w:rsid w:val="00E27AC1"/>
    <w:rsid w:val="00E51BE8"/>
    <w:rsid w:val="00E53917"/>
    <w:rsid w:val="00E76608"/>
    <w:rsid w:val="00E82765"/>
    <w:rsid w:val="00E84038"/>
    <w:rsid w:val="00EB3B56"/>
    <w:rsid w:val="00EE271D"/>
    <w:rsid w:val="00F45246"/>
    <w:rsid w:val="00F47955"/>
    <w:rsid w:val="00F550F9"/>
    <w:rsid w:val="00F746C9"/>
    <w:rsid w:val="00F8397D"/>
    <w:rsid w:val="00F96FBF"/>
    <w:rsid w:val="00FA0530"/>
    <w:rsid w:val="00FB5726"/>
    <w:rsid w:val="00FC132A"/>
    <w:rsid w:val="00FC5876"/>
    <w:rsid w:val="00FD4C68"/>
    <w:rsid w:val="00FE7128"/>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98C2A-F052-4121-8AE6-ACA04070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7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EB"/>
    <w:rPr>
      <w:sz w:val="20"/>
      <w:szCs w:val="20"/>
    </w:rPr>
  </w:style>
  <w:style w:type="character" w:styleId="FootnoteReference">
    <w:name w:val="footnote reference"/>
    <w:basedOn w:val="DefaultParagraphFont"/>
    <w:uiPriority w:val="99"/>
    <w:semiHidden/>
    <w:unhideWhenUsed/>
    <w:rsid w:val="00D370EB"/>
    <w:rPr>
      <w:vertAlign w:val="superscript"/>
    </w:rPr>
  </w:style>
  <w:style w:type="paragraph" w:styleId="ListParagraph">
    <w:name w:val="List Paragraph"/>
    <w:basedOn w:val="Normal"/>
    <w:uiPriority w:val="34"/>
    <w:qFormat/>
    <w:rsid w:val="00122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489A-857F-4114-B782-58C8DCCC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7037</Words>
  <Characters>40114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Pupwe</dc:creator>
  <cp:keywords/>
  <dc:description/>
  <cp:lastModifiedBy>User</cp:lastModifiedBy>
  <cp:revision>2</cp:revision>
  <dcterms:created xsi:type="dcterms:W3CDTF">2022-07-17T03:13:00Z</dcterms:created>
  <dcterms:modified xsi:type="dcterms:W3CDTF">2022-07-17T03:13:00Z</dcterms:modified>
</cp:coreProperties>
</file>